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3575D" w14:textId="49C9E661" w:rsidR="005B1154" w:rsidRDefault="006930CF" w:rsidP="00092A9C">
      <w:pPr>
        <w:jc w:val="center"/>
        <w:rPr>
          <w:b/>
          <w:sz w:val="44"/>
          <w:szCs w:val="44"/>
        </w:rPr>
      </w:pPr>
      <w:r>
        <w:rPr>
          <w:b/>
          <w:sz w:val="44"/>
          <w:szCs w:val="44"/>
        </w:rPr>
        <w:t xml:space="preserve">August </w:t>
      </w:r>
      <w:r w:rsidR="005B1154">
        <w:rPr>
          <w:b/>
          <w:sz w:val="44"/>
          <w:szCs w:val="44"/>
        </w:rPr>
        <w:t>2015 REBEL Cast Show Notes</w:t>
      </w:r>
    </w:p>
    <w:p w14:paraId="0A999071" w14:textId="77777777" w:rsidR="002544F8" w:rsidRDefault="002544F8" w:rsidP="00092A9C">
      <w:pPr>
        <w:jc w:val="center"/>
        <w:rPr>
          <w:b/>
          <w:sz w:val="44"/>
          <w:szCs w:val="44"/>
        </w:rPr>
      </w:pPr>
    </w:p>
    <w:p w14:paraId="5D13AA43" w14:textId="404705C9" w:rsidR="006930CF" w:rsidRPr="002544F8" w:rsidRDefault="002544F8" w:rsidP="002544F8">
      <w:pPr>
        <w:rPr>
          <w:b/>
        </w:rPr>
      </w:pPr>
      <w:r w:rsidRPr="002544F8">
        <w:rPr>
          <w:b/>
        </w:rPr>
        <w:t xml:space="preserve">Topic #1: </w:t>
      </w:r>
      <w:r w:rsidR="006930CF" w:rsidRPr="002544F8">
        <w:rPr>
          <w:b/>
        </w:rPr>
        <w:t>MET for Renal Colic</w:t>
      </w:r>
    </w:p>
    <w:p w14:paraId="5A6AD2C5" w14:textId="77777777" w:rsidR="00276F28" w:rsidRDefault="00276F28" w:rsidP="00442E27">
      <w:pPr>
        <w:jc w:val="both"/>
        <w:rPr>
          <w:b/>
        </w:rPr>
      </w:pPr>
    </w:p>
    <w:p w14:paraId="5D9AEEAC" w14:textId="50D9290B" w:rsidR="00092A9C" w:rsidRDefault="00092A9C" w:rsidP="006930CF">
      <w:pPr>
        <w:jc w:val="both"/>
      </w:pPr>
      <w:r w:rsidRPr="00B8460A">
        <w:rPr>
          <w:b/>
        </w:rPr>
        <w:t>Background:</w:t>
      </w:r>
      <w:r w:rsidR="00B8460A">
        <w:t xml:space="preserve"> </w:t>
      </w:r>
      <w:bookmarkStart w:id="0" w:name="OLE_LINK7"/>
      <w:bookmarkStart w:id="1" w:name="OLE_LINK8"/>
      <w:r w:rsidR="006930CF">
        <w:t xml:space="preserve">Ureteric (renal) colic is a common, painful condition encountered in the Emergency Department (ED). Sustained contraction of smooth muscle in the ureter as a kidney stone passes the length of the ureter leads to pain. The majority of stones will pass spontaneously (i.e. without urologic intervention). For over a decade, calcium channel blockers (i.e. </w:t>
      </w:r>
      <w:proofErr w:type="spellStart"/>
      <w:r w:rsidR="006930CF">
        <w:t>nifedipine</w:t>
      </w:r>
      <w:proofErr w:type="spellEnd"/>
      <w:r w:rsidR="006930CF">
        <w:t xml:space="preserve">) and, more commonly, alpha </w:t>
      </w:r>
      <w:proofErr w:type="spellStart"/>
      <w:r w:rsidR="006930CF">
        <w:t>adrenoreceptor</w:t>
      </w:r>
      <w:proofErr w:type="spellEnd"/>
      <w:r w:rsidR="006930CF">
        <w:t xml:space="preserve"> antagonists (i.e. </w:t>
      </w:r>
      <w:proofErr w:type="spellStart"/>
      <w:r w:rsidR="006930CF">
        <w:t>tamsulosin</w:t>
      </w:r>
      <w:proofErr w:type="spellEnd"/>
      <w:r w:rsidR="006930CF">
        <w:t xml:space="preserve">) </w:t>
      </w:r>
      <w:bookmarkStart w:id="2" w:name="OLE_LINK1"/>
      <w:bookmarkStart w:id="3" w:name="OLE_LINK2"/>
      <w:r w:rsidR="006930CF">
        <w:t>have been employed in the treatment of ureteric colic for their potential ability to increase stone passage, reduce pain medication use and reduce urologic interventions</w:t>
      </w:r>
      <w:bookmarkEnd w:id="2"/>
      <w:bookmarkEnd w:id="3"/>
      <w:r w:rsidR="006930CF">
        <w:t xml:space="preserve">. </w:t>
      </w:r>
      <w:r w:rsidR="00B43920">
        <w:t>The physiologic basis for treatment with these agents is that they reduce spasm. The use of these medications</w:t>
      </w:r>
      <w:r w:rsidR="006930CF">
        <w:t xml:space="preserve"> </w:t>
      </w:r>
      <w:r w:rsidR="00B43920">
        <w:t>was</w:t>
      </w:r>
      <w:r w:rsidR="006930CF">
        <w:t xml:space="preserve"> based on poor </w:t>
      </w:r>
      <w:proofErr w:type="spellStart"/>
      <w:r w:rsidR="006930CF">
        <w:t>methodologic</w:t>
      </w:r>
      <w:proofErr w:type="spellEnd"/>
      <w:r w:rsidR="006930CF">
        <w:t xml:space="preserve"> studies and meta-analyses of these flawed studies. A number of randomized trials performed over the last 6 years have not been as supportive. However, these studies were small and had flaws of their own. The question of whether medical expulsion therapy (MET) is beneficial remains.</w:t>
      </w:r>
    </w:p>
    <w:p w14:paraId="01296828" w14:textId="77777777" w:rsidR="002544F8" w:rsidRDefault="002544F8" w:rsidP="006930CF">
      <w:pPr>
        <w:jc w:val="both"/>
      </w:pPr>
    </w:p>
    <w:p w14:paraId="5AFAF5E3" w14:textId="25EB6D09" w:rsidR="002544F8" w:rsidRPr="002544F8" w:rsidRDefault="002544F8" w:rsidP="006930CF">
      <w:pPr>
        <w:jc w:val="both"/>
        <w:rPr>
          <w:rFonts w:cs="Georgia"/>
          <w:color w:val="262626"/>
        </w:rPr>
      </w:pPr>
      <w:r w:rsidRPr="00F43183">
        <w:rPr>
          <w:b/>
        </w:rPr>
        <w:t>Question:</w:t>
      </w:r>
      <w:r>
        <w:t xml:space="preserve"> </w:t>
      </w:r>
      <w:r w:rsidRPr="002544F8">
        <w:rPr>
          <w:rFonts w:cs="Georgia"/>
          <w:color w:val="262626"/>
        </w:rPr>
        <w:t>In renal colic, does MET facilitate an increase in the rate of stone passage?</w:t>
      </w:r>
    </w:p>
    <w:p w14:paraId="53C2B076" w14:textId="77777777" w:rsidR="002544F8" w:rsidRDefault="002544F8" w:rsidP="006930CF">
      <w:pPr>
        <w:jc w:val="both"/>
        <w:rPr>
          <w:b/>
        </w:rPr>
      </w:pPr>
    </w:p>
    <w:p w14:paraId="69B6D3CC" w14:textId="41E41FCB" w:rsidR="002544F8" w:rsidRPr="002544F8" w:rsidRDefault="002544F8" w:rsidP="006930CF">
      <w:pPr>
        <w:jc w:val="both"/>
        <w:rPr>
          <w:b/>
        </w:rPr>
      </w:pPr>
      <w:r>
        <w:rPr>
          <w:b/>
        </w:rPr>
        <w:t>Article</w:t>
      </w:r>
      <w:r>
        <w:rPr>
          <w:b/>
        </w:rPr>
        <w:t>:</w:t>
      </w:r>
      <w:bookmarkStart w:id="4" w:name="OLE_LINK3"/>
      <w:bookmarkStart w:id="5" w:name="OLE_LINK4"/>
      <w:r>
        <w:rPr>
          <w:b/>
        </w:rPr>
        <w:t xml:space="preserve"> </w:t>
      </w:r>
      <w:r>
        <w:t xml:space="preserve">Pickard R et al. Medical expulsive therapy in adults with </w:t>
      </w:r>
      <w:proofErr w:type="spellStart"/>
      <w:r>
        <w:t>urteric</w:t>
      </w:r>
      <w:proofErr w:type="spellEnd"/>
      <w:r>
        <w:t xml:space="preserve"> colic: a multicenter, randomized, placebo-controlled trial. Lancet 2015. </w:t>
      </w:r>
      <w:hyperlink r:id="rId6" w:history="1">
        <w:r w:rsidRPr="002544F8">
          <w:rPr>
            <w:rStyle w:val="Hyperlink"/>
          </w:rPr>
          <w:t>PMID: 25998582</w:t>
        </w:r>
      </w:hyperlink>
      <w:bookmarkEnd w:id="4"/>
      <w:bookmarkEnd w:id="5"/>
    </w:p>
    <w:bookmarkEnd w:id="0"/>
    <w:bookmarkEnd w:id="1"/>
    <w:p w14:paraId="6E8013AE" w14:textId="77777777" w:rsidR="006930CF" w:rsidRDefault="006930CF" w:rsidP="006930CF">
      <w:pPr>
        <w:jc w:val="both"/>
      </w:pPr>
    </w:p>
    <w:p w14:paraId="1BC317D3" w14:textId="77777777" w:rsidR="00092A9C" w:rsidRDefault="00092A9C" w:rsidP="00442E27">
      <w:pPr>
        <w:jc w:val="both"/>
        <w:rPr>
          <w:b/>
        </w:rPr>
      </w:pPr>
      <w:r w:rsidRPr="00B8460A">
        <w:rPr>
          <w:b/>
        </w:rPr>
        <w:t>What They Did:</w:t>
      </w:r>
      <w:r w:rsidR="00B8460A" w:rsidRPr="00B8460A">
        <w:rPr>
          <w:b/>
        </w:rPr>
        <w:t xml:space="preserve"> </w:t>
      </w:r>
    </w:p>
    <w:p w14:paraId="427FDA32" w14:textId="1D993CFE" w:rsidR="006930CF" w:rsidRPr="001D45CA" w:rsidRDefault="006930CF" w:rsidP="006930CF">
      <w:pPr>
        <w:pStyle w:val="ListParagraph"/>
        <w:numPr>
          <w:ilvl w:val="0"/>
          <w:numId w:val="14"/>
        </w:numPr>
        <w:jc w:val="both"/>
        <w:rPr>
          <w:b/>
        </w:rPr>
      </w:pPr>
      <w:bookmarkStart w:id="6" w:name="OLE_LINK9"/>
      <w:bookmarkStart w:id="7" w:name="OLE_LINK10"/>
      <w:r>
        <w:t xml:space="preserve">Randomized 1136 patients to one of three arms: placebo, once daily </w:t>
      </w:r>
      <w:proofErr w:type="spellStart"/>
      <w:r>
        <w:t>nifedipine</w:t>
      </w:r>
      <w:proofErr w:type="spellEnd"/>
      <w:r>
        <w:t xml:space="preserve"> (30 mg) or once daily </w:t>
      </w:r>
      <w:proofErr w:type="spellStart"/>
      <w:r>
        <w:t>tamsulosin</w:t>
      </w:r>
      <w:proofErr w:type="spellEnd"/>
      <w:r>
        <w:t xml:space="preserve"> (400 mcg). </w:t>
      </w:r>
    </w:p>
    <w:p w14:paraId="22865A23" w14:textId="41C78401" w:rsidR="001D45CA" w:rsidRPr="00E52DE3" w:rsidRDefault="001D45CA" w:rsidP="00E52DE3">
      <w:pPr>
        <w:pStyle w:val="ListParagraph"/>
        <w:numPr>
          <w:ilvl w:val="0"/>
          <w:numId w:val="14"/>
        </w:numPr>
        <w:jc w:val="both"/>
        <w:rPr>
          <w:b/>
        </w:rPr>
      </w:pPr>
      <w:r>
        <w:t>Multicenter, double-blind, placebo controlled</w:t>
      </w:r>
    </w:p>
    <w:bookmarkEnd w:id="6"/>
    <w:bookmarkEnd w:id="7"/>
    <w:p w14:paraId="48448EB7" w14:textId="77777777" w:rsidR="00AF4636" w:rsidRDefault="00AF4636" w:rsidP="00AF4636">
      <w:pPr>
        <w:jc w:val="both"/>
      </w:pPr>
    </w:p>
    <w:p w14:paraId="2CCA4D63" w14:textId="0923EF48" w:rsidR="00AF4636" w:rsidRDefault="00AF4636" w:rsidP="00AF4636">
      <w:pPr>
        <w:jc w:val="both"/>
        <w:rPr>
          <w:b/>
        </w:rPr>
      </w:pPr>
      <w:r w:rsidRPr="00AF4636">
        <w:rPr>
          <w:b/>
        </w:rPr>
        <w:t>Patient Population:</w:t>
      </w:r>
    </w:p>
    <w:p w14:paraId="429F46BE" w14:textId="3A01DC81" w:rsidR="00AF4636" w:rsidRDefault="00AF4636" w:rsidP="002D566A">
      <w:pPr>
        <w:pStyle w:val="ListParagraph"/>
        <w:numPr>
          <w:ilvl w:val="0"/>
          <w:numId w:val="9"/>
        </w:numPr>
        <w:jc w:val="both"/>
        <w:rPr>
          <w:b/>
        </w:rPr>
      </w:pPr>
      <w:r w:rsidRPr="002D566A">
        <w:rPr>
          <w:b/>
        </w:rPr>
        <w:t>Inclusion Criteria</w:t>
      </w:r>
    </w:p>
    <w:p w14:paraId="7E9F3C70" w14:textId="1CAFBB46" w:rsidR="001D45CA" w:rsidRPr="001D45CA" w:rsidRDefault="001D45CA" w:rsidP="001D45CA">
      <w:pPr>
        <w:pStyle w:val="ListParagraph"/>
        <w:numPr>
          <w:ilvl w:val="1"/>
          <w:numId w:val="9"/>
        </w:numPr>
        <w:jc w:val="both"/>
        <w:rPr>
          <w:b/>
        </w:rPr>
      </w:pPr>
      <w:r>
        <w:t>Adults aged 18-65</w:t>
      </w:r>
    </w:p>
    <w:p w14:paraId="3DDE8561" w14:textId="2D0F6A15" w:rsidR="001D45CA" w:rsidRPr="002D566A" w:rsidRDefault="001D45CA" w:rsidP="001D45CA">
      <w:pPr>
        <w:pStyle w:val="ListParagraph"/>
        <w:numPr>
          <w:ilvl w:val="1"/>
          <w:numId w:val="9"/>
        </w:numPr>
        <w:jc w:val="both"/>
        <w:rPr>
          <w:b/>
        </w:rPr>
      </w:pPr>
      <w:r>
        <w:t xml:space="preserve">Single kidney stone </w:t>
      </w:r>
      <w:r w:rsidRPr="001D45CA">
        <w:rPr>
          <w:u w:val="single"/>
        </w:rPr>
        <w:t xml:space="preserve">&lt; </w:t>
      </w:r>
      <w:r>
        <w:t>10 mm identified on CT or KUB</w:t>
      </w:r>
    </w:p>
    <w:p w14:paraId="7525B38E" w14:textId="77777777" w:rsidR="002D566A" w:rsidRDefault="002D566A" w:rsidP="00AF4636">
      <w:pPr>
        <w:jc w:val="both"/>
      </w:pPr>
    </w:p>
    <w:p w14:paraId="42664785" w14:textId="72612BD2" w:rsidR="002D566A" w:rsidRDefault="002D566A" w:rsidP="002D566A">
      <w:pPr>
        <w:pStyle w:val="ListParagraph"/>
        <w:numPr>
          <w:ilvl w:val="0"/>
          <w:numId w:val="9"/>
        </w:numPr>
        <w:jc w:val="both"/>
        <w:rPr>
          <w:b/>
        </w:rPr>
      </w:pPr>
      <w:r w:rsidRPr="002D566A">
        <w:rPr>
          <w:b/>
        </w:rPr>
        <w:t>Exclusion Criteria</w:t>
      </w:r>
    </w:p>
    <w:p w14:paraId="43657375" w14:textId="1435728B" w:rsidR="001D45CA" w:rsidRPr="001D45CA" w:rsidRDefault="001D45CA" w:rsidP="001D45CA">
      <w:pPr>
        <w:pStyle w:val="ListParagraph"/>
        <w:numPr>
          <w:ilvl w:val="1"/>
          <w:numId w:val="9"/>
        </w:numPr>
        <w:jc w:val="both"/>
        <w:rPr>
          <w:b/>
        </w:rPr>
      </w:pPr>
      <w:r>
        <w:t>Patients requiring immediate urologic intervention</w:t>
      </w:r>
    </w:p>
    <w:p w14:paraId="260B2274" w14:textId="62461198" w:rsidR="001D45CA" w:rsidRPr="001D45CA" w:rsidRDefault="001D45CA" w:rsidP="001D45CA">
      <w:pPr>
        <w:pStyle w:val="ListParagraph"/>
        <w:numPr>
          <w:ilvl w:val="1"/>
          <w:numId w:val="9"/>
        </w:numPr>
        <w:jc w:val="both"/>
        <w:rPr>
          <w:b/>
        </w:rPr>
      </w:pPr>
      <w:r>
        <w:t>An estimated GFR &lt; 20 ml/min</w:t>
      </w:r>
    </w:p>
    <w:p w14:paraId="50CCF7AA" w14:textId="351DD015" w:rsidR="001D45CA" w:rsidRPr="002D566A" w:rsidRDefault="001D45CA" w:rsidP="001D45CA">
      <w:pPr>
        <w:pStyle w:val="ListParagraph"/>
        <w:numPr>
          <w:ilvl w:val="1"/>
          <w:numId w:val="9"/>
        </w:numPr>
        <w:jc w:val="both"/>
        <w:rPr>
          <w:b/>
        </w:rPr>
      </w:pPr>
      <w:r>
        <w:t xml:space="preserve">Patients already taking or unable to take </w:t>
      </w:r>
      <w:proofErr w:type="spellStart"/>
      <w:r>
        <w:t>tamsulosin</w:t>
      </w:r>
      <w:proofErr w:type="spellEnd"/>
      <w:r>
        <w:t xml:space="preserve"> or </w:t>
      </w:r>
      <w:proofErr w:type="spellStart"/>
      <w:r>
        <w:t>nifedipine</w:t>
      </w:r>
      <w:proofErr w:type="spellEnd"/>
    </w:p>
    <w:p w14:paraId="56CCC747" w14:textId="77777777" w:rsidR="00092A9C" w:rsidRDefault="00092A9C" w:rsidP="00442E27">
      <w:pPr>
        <w:jc w:val="both"/>
      </w:pPr>
    </w:p>
    <w:p w14:paraId="0905C0D8" w14:textId="77777777" w:rsidR="00092A9C" w:rsidRDefault="00092A9C" w:rsidP="00442E27">
      <w:pPr>
        <w:jc w:val="both"/>
        <w:rPr>
          <w:b/>
        </w:rPr>
      </w:pPr>
      <w:r w:rsidRPr="005162A0">
        <w:rPr>
          <w:b/>
        </w:rPr>
        <w:t>Outcomes:</w:t>
      </w:r>
    </w:p>
    <w:p w14:paraId="49D6AC4D" w14:textId="5E4868F4" w:rsidR="00511165" w:rsidRDefault="00511165" w:rsidP="0031752A">
      <w:pPr>
        <w:pStyle w:val="ListParagraph"/>
        <w:numPr>
          <w:ilvl w:val="0"/>
          <w:numId w:val="10"/>
        </w:numPr>
        <w:jc w:val="both"/>
        <w:rPr>
          <w:b/>
        </w:rPr>
      </w:pPr>
      <w:r w:rsidRPr="0031752A">
        <w:rPr>
          <w:b/>
        </w:rPr>
        <w:t>Primary Endpoint</w:t>
      </w:r>
    </w:p>
    <w:p w14:paraId="53C483A1" w14:textId="5FE848E8" w:rsidR="001D45CA" w:rsidRPr="0031752A" w:rsidRDefault="001D45CA" w:rsidP="001D45CA">
      <w:pPr>
        <w:pStyle w:val="ListParagraph"/>
        <w:numPr>
          <w:ilvl w:val="1"/>
          <w:numId w:val="10"/>
        </w:numPr>
        <w:jc w:val="both"/>
        <w:rPr>
          <w:b/>
        </w:rPr>
      </w:pPr>
      <w:r>
        <w:t>Need for urologic intervention to facilitate stone passage at 4 weeks after randomization</w:t>
      </w:r>
    </w:p>
    <w:p w14:paraId="1AEF4B82" w14:textId="371FB508" w:rsidR="00511165" w:rsidRPr="0031752A" w:rsidRDefault="00511165" w:rsidP="0031752A">
      <w:pPr>
        <w:pStyle w:val="ListParagraph"/>
        <w:numPr>
          <w:ilvl w:val="0"/>
          <w:numId w:val="10"/>
        </w:numPr>
        <w:jc w:val="both"/>
        <w:rPr>
          <w:b/>
        </w:rPr>
      </w:pPr>
      <w:r w:rsidRPr="0031752A">
        <w:rPr>
          <w:b/>
        </w:rPr>
        <w:t>Secondary Endp</w:t>
      </w:r>
      <w:r w:rsidR="0031752A">
        <w:rPr>
          <w:b/>
        </w:rPr>
        <w:t xml:space="preserve">oints (At Hospital Discharge &amp; </w:t>
      </w:r>
      <w:r w:rsidRPr="0031752A">
        <w:rPr>
          <w:b/>
        </w:rPr>
        <w:t>6 Months)</w:t>
      </w:r>
    </w:p>
    <w:p w14:paraId="546F708F" w14:textId="1200278D" w:rsidR="0031752A" w:rsidRDefault="001D45CA" w:rsidP="0031752A">
      <w:pPr>
        <w:pStyle w:val="ListParagraph"/>
        <w:numPr>
          <w:ilvl w:val="1"/>
          <w:numId w:val="10"/>
        </w:numPr>
        <w:jc w:val="both"/>
      </w:pPr>
      <w:r>
        <w:lastRenderedPageBreak/>
        <w:t>Number of days of analgesic use</w:t>
      </w:r>
    </w:p>
    <w:p w14:paraId="24C76F28" w14:textId="56D5A50A" w:rsidR="001D45CA" w:rsidRDefault="001D45CA" w:rsidP="0031752A">
      <w:pPr>
        <w:pStyle w:val="ListParagraph"/>
        <w:numPr>
          <w:ilvl w:val="1"/>
          <w:numId w:val="10"/>
        </w:numPr>
        <w:jc w:val="both"/>
      </w:pPr>
      <w:r>
        <w:t>Visual analog scale at 4 weeks</w:t>
      </w:r>
    </w:p>
    <w:p w14:paraId="2AFA13C8" w14:textId="15400871" w:rsidR="001D45CA" w:rsidRDefault="001D45CA" w:rsidP="0031752A">
      <w:pPr>
        <w:pStyle w:val="ListParagraph"/>
        <w:numPr>
          <w:ilvl w:val="1"/>
          <w:numId w:val="10"/>
        </w:numPr>
        <w:jc w:val="both"/>
      </w:pPr>
      <w:r>
        <w:t>Time to stone passage</w:t>
      </w:r>
    </w:p>
    <w:p w14:paraId="5D29521D" w14:textId="484D2CA5" w:rsidR="001D45CA" w:rsidRDefault="001D45CA" w:rsidP="0031752A">
      <w:pPr>
        <w:pStyle w:val="ListParagraph"/>
        <w:numPr>
          <w:ilvl w:val="1"/>
          <w:numId w:val="10"/>
        </w:numPr>
        <w:jc w:val="both"/>
      </w:pPr>
      <w:r>
        <w:t>Health status</w:t>
      </w:r>
    </w:p>
    <w:p w14:paraId="54908BB9" w14:textId="775488AE" w:rsidR="001D45CA" w:rsidRPr="00511165" w:rsidRDefault="001D45CA" w:rsidP="0031752A">
      <w:pPr>
        <w:pStyle w:val="ListParagraph"/>
        <w:numPr>
          <w:ilvl w:val="1"/>
          <w:numId w:val="10"/>
        </w:numPr>
        <w:jc w:val="both"/>
      </w:pPr>
      <w:r>
        <w:t>Safety assessed by participant report of discontinuation due to adverse events or serious adverse events monitoring</w:t>
      </w:r>
    </w:p>
    <w:p w14:paraId="3CC3CDF9" w14:textId="77777777" w:rsidR="00092A9C" w:rsidRDefault="00092A9C" w:rsidP="00442E27">
      <w:pPr>
        <w:jc w:val="both"/>
      </w:pPr>
    </w:p>
    <w:p w14:paraId="3EC1A971" w14:textId="77777777" w:rsidR="00092A9C" w:rsidRDefault="00092A9C" w:rsidP="00442E27">
      <w:pPr>
        <w:jc w:val="both"/>
        <w:rPr>
          <w:b/>
        </w:rPr>
      </w:pPr>
      <w:r w:rsidRPr="009B7C85">
        <w:rPr>
          <w:b/>
        </w:rPr>
        <w:t>Results:</w:t>
      </w:r>
    </w:p>
    <w:p w14:paraId="54EA90CA" w14:textId="6F820E12" w:rsidR="00C76036" w:rsidRDefault="001D45CA" w:rsidP="00C76036">
      <w:pPr>
        <w:pStyle w:val="ListParagraph"/>
        <w:numPr>
          <w:ilvl w:val="0"/>
          <w:numId w:val="11"/>
        </w:numPr>
        <w:jc w:val="both"/>
      </w:pPr>
      <w:r>
        <w:t>1167 patients randomized. 17 patients excluded after randomization due to prior set exclusions</w:t>
      </w:r>
    </w:p>
    <w:p w14:paraId="1EDBC36D" w14:textId="74C391B1" w:rsidR="00B5005F" w:rsidRDefault="001D45CA" w:rsidP="00C76036">
      <w:pPr>
        <w:pStyle w:val="ListParagraph"/>
        <w:numPr>
          <w:ilvl w:val="0"/>
          <w:numId w:val="11"/>
        </w:numPr>
        <w:jc w:val="both"/>
      </w:pPr>
      <w:r>
        <w:t>Primary Outcome</w:t>
      </w:r>
      <w:r w:rsidR="00B5005F">
        <w:t>:</w:t>
      </w:r>
    </w:p>
    <w:p w14:paraId="0DB92844" w14:textId="77777777" w:rsidR="001D45CA" w:rsidRDefault="001D45CA" w:rsidP="001D45CA">
      <w:pPr>
        <w:pStyle w:val="ListParagraph"/>
        <w:numPr>
          <w:ilvl w:val="1"/>
          <w:numId w:val="11"/>
        </w:numPr>
        <w:jc w:val="both"/>
      </w:pPr>
      <w:r>
        <w:t xml:space="preserve">Placebo (20%) vs. </w:t>
      </w:r>
      <w:proofErr w:type="spellStart"/>
      <w:r>
        <w:t>Tamsulosin</w:t>
      </w:r>
      <w:proofErr w:type="spellEnd"/>
      <w:r>
        <w:t xml:space="preserve"> (19%) vs. </w:t>
      </w:r>
      <w:proofErr w:type="spellStart"/>
      <w:r>
        <w:t>Nifedipine</w:t>
      </w:r>
      <w:proofErr w:type="spellEnd"/>
      <w:r>
        <w:t xml:space="preserve"> (20%)</w:t>
      </w:r>
    </w:p>
    <w:p w14:paraId="2C440E6F" w14:textId="49EA7098" w:rsidR="001D45CA" w:rsidRDefault="001D45CA" w:rsidP="001D45CA">
      <w:pPr>
        <w:pStyle w:val="ListParagraph"/>
        <w:numPr>
          <w:ilvl w:val="1"/>
          <w:numId w:val="11"/>
        </w:numPr>
        <w:jc w:val="both"/>
      </w:pPr>
      <w:r>
        <w:t>No statistically significant difference</w:t>
      </w:r>
    </w:p>
    <w:p w14:paraId="3D074CF6" w14:textId="134A8103" w:rsidR="00B5005F" w:rsidRDefault="00B5005F" w:rsidP="001D45CA">
      <w:pPr>
        <w:pStyle w:val="ListParagraph"/>
        <w:numPr>
          <w:ilvl w:val="0"/>
          <w:numId w:val="11"/>
        </w:numPr>
        <w:jc w:val="both"/>
      </w:pPr>
      <w:r>
        <w:t>Secondary Outcomes:</w:t>
      </w:r>
    </w:p>
    <w:p w14:paraId="35048B95" w14:textId="5E7307CD" w:rsidR="00ED7106" w:rsidRDefault="00ED7106" w:rsidP="00ED7106">
      <w:pPr>
        <w:pStyle w:val="ListParagraph"/>
        <w:numPr>
          <w:ilvl w:val="1"/>
          <w:numId w:val="11"/>
        </w:numPr>
        <w:tabs>
          <w:tab w:val="left" w:pos="4860"/>
        </w:tabs>
        <w:jc w:val="both"/>
      </w:pPr>
      <w:r>
        <w:t>No difference in analgesic use</w:t>
      </w:r>
    </w:p>
    <w:p w14:paraId="0A6BA3AE" w14:textId="0BAB5951" w:rsidR="00ED7106" w:rsidRDefault="00ED7106" w:rsidP="00ED7106">
      <w:pPr>
        <w:pStyle w:val="ListParagraph"/>
        <w:numPr>
          <w:ilvl w:val="1"/>
          <w:numId w:val="11"/>
        </w:numPr>
        <w:tabs>
          <w:tab w:val="left" w:pos="4860"/>
        </w:tabs>
        <w:jc w:val="both"/>
      </w:pPr>
      <w:r>
        <w:t>No difference in time to stone passage</w:t>
      </w:r>
    </w:p>
    <w:p w14:paraId="0D18CE34" w14:textId="478E2349" w:rsidR="00ED7106" w:rsidRDefault="00ED7106" w:rsidP="00ED7106">
      <w:pPr>
        <w:pStyle w:val="ListParagraph"/>
        <w:numPr>
          <w:ilvl w:val="1"/>
          <w:numId w:val="11"/>
        </w:numPr>
        <w:tabs>
          <w:tab w:val="left" w:pos="4860"/>
        </w:tabs>
        <w:jc w:val="both"/>
      </w:pPr>
      <w:r>
        <w:t>No difference in health status</w:t>
      </w:r>
    </w:p>
    <w:p w14:paraId="0D9E7CB7" w14:textId="77777777" w:rsidR="00092A9C" w:rsidRDefault="00092A9C" w:rsidP="00442E27">
      <w:pPr>
        <w:jc w:val="both"/>
      </w:pPr>
    </w:p>
    <w:p w14:paraId="14233001" w14:textId="77777777" w:rsidR="00092A9C" w:rsidRDefault="00092A9C" w:rsidP="00442E27">
      <w:pPr>
        <w:jc w:val="both"/>
        <w:rPr>
          <w:b/>
        </w:rPr>
      </w:pPr>
      <w:r w:rsidRPr="00045512">
        <w:rPr>
          <w:b/>
        </w:rPr>
        <w:t>Limitations:</w:t>
      </w:r>
    </w:p>
    <w:p w14:paraId="5D2F57DA" w14:textId="77777777" w:rsidR="00ED7106" w:rsidRPr="003C2177" w:rsidRDefault="00ED7106" w:rsidP="00ED7106">
      <w:pPr>
        <w:pStyle w:val="ListParagraph"/>
        <w:numPr>
          <w:ilvl w:val="0"/>
          <w:numId w:val="15"/>
        </w:numPr>
        <w:rPr>
          <w:b/>
        </w:rPr>
      </w:pPr>
      <w:r>
        <w:t>Stone passage not documented, only absence of further intervention</w:t>
      </w:r>
    </w:p>
    <w:p w14:paraId="7B6CE2D2" w14:textId="67E247FD" w:rsidR="000157C2" w:rsidRPr="00ED7106" w:rsidRDefault="00ED7106" w:rsidP="00ED7106">
      <w:pPr>
        <w:pStyle w:val="ListParagraph"/>
        <w:numPr>
          <w:ilvl w:val="0"/>
          <w:numId w:val="15"/>
        </w:numPr>
        <w:rPr>
          <w:b/>
        </w:rPr>
      </w:pPr>
      <w:r>
        <w:t>Only 25% of stones were large (&gt; 5 mm)</w:t>
      </w:r>
    </w:p>
    <w:p w14:paraId="1866F83D" w14:textId="77777777" w:rsidR="00823B3C" w:rsidRDefault="00823B3C" w:rsidP="00442E27">
      <w:pPr>
        <w:jc w:val="both"/>
        <w:rPr>
          <w:b/>
        </w:rPr>
      </w:pPr>
    </w:p>
    <w:p w14:paraId="748B4754" w14:textId="77777777" w:rsidR="00092A9C" w:rsidRDefault="00092A9C" w:rsidP="00442E27">
      <w:pPr>
        <w:jc w:val="both"/>
        <w:rPr>
          <w:b/>
        </w:rPr>
      </w:pPr>
      <w:r w:rsidRPr="00442E27">
        <w:rPr>
          <w:b/>
        </w:rPr>
        <w:t>Discussion:</w:t>
      </w:r>
    </w:p>
    <w:p w14:paraId="6C27A682" w14:textId="76AD2767" w:rsidR="00442E27" w:rsidRDefault="006C122A" w:rsidP="00ED7106">
      <w:pPr>
        <w:pStyle w:val="ListParagraph"/>
        <w:numPr>
          <w:ilvl w:val="0"/>
          <w:numId w:val="16"/>
        </w:numPr>
        <w:jc w:val="both"/>
      </w:pPr>
      <w:r>
        <w:t xml:space="preserve">This study is the largest, well-done randomized trial looking at the efficacy of MET in renal colic and supports the findings of the majority of recent smaller studies that did not demonstrate a benefit to the use of </w:t>
      </w:r>
      <w:proofErr w:type="spellStart"/>
      <w:r>
        <w:t>tamsulosin</w:t>
      </w:r>
      <w:proofErr w:type="spellEnd"/>
      <w:r>
        <w:t>.</w:t>
      </w:r>
    </w:p>
    <w:p w14:paraId="42BA0DB8" w14:textId="36086642" w:rsidR="006C122A" w:rsidRDefault="001929F5" w:rsidP="00ED7106">
      <w:pPr>
        <w:pStyle w:val="ListParagraph"/>
        <w:numPr>
          <w:ilvl w:val="0"/>
          <w:numId w:val="16"/>
        </w:numPr>
        <w:jc w:val="both"/>
      </w:pPr>
      <w:r>
        <w:t>There may be a subgroup of patients that will benefit from MET. The</w:t>
      </w:r>
      <w:r w:rsidR="000F70B4">
        <w:t xml:space="preserve"> authors performed an unplanned secondary analysis demonstrating a small benefit to distal ureteral stones</w:t>
      </w:r>
      <w:r w:rsidR="00B43920">
        <w:t xml:space="preserve"> (where receptors are more concentrated)</w:t>
      </w:r>
      <w:r w:rsidR="000F70B4">
        <w:t xml:space="preserve">. Others have argued that large stones would see a greater benefit. It’s important to note that taking advantage of these subgroup benefits would likely require advanced </w:t>
      </w:r>
      <w:r w:rsidR="00E52DE3">
        <w:t>imaging, which</w:t>
      </w:r>
      <w:r w:rsidR="000F70B4">
        <w:t>, we are attempting to reduce in renal colic patients.</w:t>
      </w:r>
    </w:p>
    <w:p w14:paraId="06570BCB" w14:textId="77777777" w:rsidR="006C122A" w:rsidRDefault="006C122A" w:rsidP="00442E27">
      <w:pPr>
        <w:jc w:val="both"/>
        <w:rPr>
          <w:b/>
        </w:rPr>
      </w:pPr>
    </w:p>
    <w:p w14:paraId="6ABD5213" w14:textId="6FB4ABA2" w:rsidR="000868D9" w:rsidRDefault="000157C2" w:rsidP="00442E27">
      <w:pPr>
        <w:jc w:val="both"/>
        <w:rPr>
          <w:rFonts w:cs="Times New Roman"/>
        </w:rPr>
      </w:pPr>
      <w:r>
        <w:rPr>
          <w:b/>
        </w:rPr>
        <w:t xml:space="preserve">Study </w:t>
      </w:r>
      <w:r w:rsidR="00092A9C" w:rsidRPr="00442E27">
        <w:rPr>
          <w:b/>
        </w:rPr>
        <w:t>Conclusion:</w:t>
      </w:r>
      <w:r>
        <w:rPr>
          <w:b/>
        </w:rPr>
        <w:t xml:space="preserve"> </w:t>
      </w:r>
      <w:r w:rsidR="006C122A">
        <w:t>“</w:t>
      </w:r>
      <w:proofErr w:type="spellStart"/>
      <w:r w:rsidR="006C122A" w:rsidRPr="009100F5">
        <w:rPr>
          <w:rFonts w:cs="Times New Roman"/>
        </w:rPr>
        <w:t>Tamsulosin</w:t>
      </w:r>
      <w:proofErr w:type="spellEnd"/>
      <w:r w:rsidR="006C122A" w:rsidRPr="009100F5">
        <w:rPr>
          <w:rFonts w:cs="Times New Roman"/>
        </w:rPr>
        <w:t xml:space="preserve"> 400 μg a</w:t>
      </w:r>
      <w:r w:rsidR="006C122A">
        <w:rPr>
          <w:rFonts w:cs="Times New Roman"/>
        </w:rPr>
        <w:t xml:space="preserve">nd </w:t>
      </w:r>
      <w:proofErr w:type="spellStart"/>
      <w:r w:rsidR="006C122A">
        <w:rPr>
          <w:rFonts w:cs="Times New Roman"/>
        </w:rPr>
        <w:t>nifedipine</w:t>
      </w:r>
      <w:proofErr w:type="spellEnd"/>
      <w:r w:rsidR="006C122A">
        <w:rPr>
          <w:rFonts w:cs="Times New Roman"/>
        </w:rPr>
        <w:t xml:space="preserve"> 30 mg a</w:t>
      </w:r>
      <w:r w:rsidR="00B43920">
        <w:rPr>
          <w:rFonts w:cs="Times New Roman"/>
        </w:rPr>
        <w:t>re not</w:t>
      </w:r>
      <w:r w:rsidR="006C122A">
        <w:rPr>
          <w:rFonts w:cs="Times New Roman"/>
        </w:rPr>
        <w:t xml:space="preserve"> eff</w:t>
      </w:r>
      <w:r w:rsidR="006C122A" w:rsidRPr="009100F5">
        <w:rPr>
          <w:rFonts w:cs="Times New Roman"/>
        </w:rPr>
        <w:t>ective at decreasing the need for further treatment to achieve stone clearance in 4 weeks for patients with expectantly managed ureteric colic.</w:t>
      </w:r>
      <w:r w:rsidR="006C122A">
        <w:rPr>
          <w:rFonts w:cs="Times New Roman"/>
        </w:rPr>
        <w:t>”</w:t>
      </w:r>
    </w:p>
    <w:p w14:paraId="0625C667" w14:textId="77777777" w:rsidR="002544F8" w:rsidRDefault="002544F8" w:rsidP="00442E27">
      <w:pPr>
        <w:jc w:val="both"/>
        <w:rPr>
          <w:rFonts w:cs="Times New Roman"/>
        </w:rPr>
      </w:pPr>
    </w:p>
    <w:p w14:paraId="11587DBB" w14:textId="77777777" w:rsidR="002544F8" w:rsidRPr="00A771A5" w:rsidRDefault="002544F8" w:rsidP="002544F8">
      <w:pPr>
        <w:jc w:val="both"/>
        <w:rPr>
          <w:b/>
        </w:rPr>
      </w:pPr>
      <w:r>
        <w:rPr>
          <w:b/>
        </w:rPr>
        <w:t xml:space="preserve">Clinical </w:t>
      </w:r>
      <w:r w:rsidRPr="00A771A5">
        <w:rPr>
          <w:b/>
        </w:rPr>
        <w:t>Bottom line:</w:t>
      </w:r>
    </w:p>
    <w:p w14:paraId="72390A99" w14:textId="0D9D6572" w:rsidR="002544F8" w:rsidRPr="002544F8" w:rsidRDefault="002544F8" w:rsidP="00442E27">
      <w:pPr>
        <w:jc w:val="both"/>
      </w:pPr>
      <w:r>
        <w:tab/>
      </w:r>
      <w:r w:rsidRPr="002544F8">
        <w:rPr>
          <w:rFonts w:cs="Georgia"/>
          <w:color w:val="262626"/>
        </w:rPr>
        <w:t xml:space="preserve">MET does not appear to facilitate the passage of kidney stones and should not empirically be used in most patients with ureteric colic. This paper is pretty strong evidence that we should not use </w:t>
      </w:r>
      <w:proofErr w:type="spellStart"/>
      <w:r w:rsidRPr="002544F8">
        <w:rPr>
          <w:rFonts w:cs="Georgia"/>
          <w:color w:val="262626"/>
        </w:rPr>
        <w:t>tamsulosin</w:t>
      </w:r>
      <w:proofErr w:type="spellEnd"/>
      <w:r w:rsidRPr="002544F8">
        <w:rPr>
          <w:rFonts w:cs="Georgia"/>
          <w:color w:val="262626"/>
        </w:rPr>
        <w:t xml:space="preserve"> or </w:t>
      </w:r>
      <w:proofErr w:type="spellStart"/>
      <w:r w:rsidRPr="002544F8">
        <w:rPr>
          <w:rFonts w:cs="Georgia"/>
          <w:color w:val="262626"/>
        </w:rPr>
        <w:t>nifedipine</w:t>
      </w:r>
      <w:proofErr w:type="spellEnd"/>
      <w:r w:rsidRPr="002544F8">
        <w:rPr>
          <w:rFonts w:cs="Georgia"/>
          <w:color w:val="262626"/>
        </w:rPr>
        <w:t xml:space="preserve"> in the vast majority of renal colic patients.</w:t>
      </w:r>
    </w:p>
    <w:p w14:paraId="7C028B20" w14:textId="77777777" w:rsidR="000868D9" w:rsidRDefault="000868D9" w:rsidP="00442E27">
      <w:pPr>
        <w:jc w:val="both"/>
        <w:rPr>
          <w:b/>
        </w:rPr>
      </w:pPr>
    </w:p>
    <w:p w14:paraId="7431420A" w14:textId="1753680E" w:rsidR="000868D9" w:rsidRDefault="006C122A" w:rsidP="00442E27">
      <w:pPr>
        <w:jc w:val="both"/>
        <w:rPr>
          <w:b/>
        </w:rPr>
      </w:pPr>
      <w:r>
        <w:rPr>
          <w:b/>
        </w:rPr>
        <w:t xml:space="preserve">Read More: </w:t>
      </w:r>
    </w:p>
    <w:p w14:paraId="04F184B4" w14:textId="77777777" w:rsidR="006C122A" w:rsidRDefault="006C122A" w:rsidP="002544F8">
      <w:pPr>
        <w:pStyle w:val="ListParagraph"/>
        <w:numPr>
          <w:ilvl w:val="0"/>
          <w:numId w:val="21"/>
        </w:numPr>
        <w:rPr>
          <w:rStyle w:val="Hyperlink"/>
        </w:rPr>
      </w:pPr>
      <w:bookmarkStart w:id="8" w:name="OLE_LINK5"/>
      <w:bookmarkStart w:id="9" w:name="OLE_LINK6"/>
      <w:r>
        <w:t xml:space="preserve">EM Lit of Note: </w:t>
      </w:r>
      <w:hyperlink r:id="rId7" w:history="1">
        <w:r w:rsidRPr="00E945E1">
          <w:rPr>
            <w:rStyle w:val="Hyperlink"/>
          </w:rPr>
          <w:t xml:space="preserve">Finally, an End to </w:t>
        </w:r>
        <w:proofErr w:type="spellStart"/>
        <w:r w:rsidRPr="00E945E1">
          <w:rPr>
            <w:rStyle w:val="Hyperlink"/>
          </w:rPr>
          <w:t>Tamsulosin</w:t>
        </w:r>
        <w:proofErr w:type="spellEnd"/>
        <w:r w:rsidRPr="00E945E1">
          <w:rPr>
            <w:rStyle w:val="Hyperlink"/>
          </w:rPr>
          <w:t xml:space="preserve"> for Renal Colic?</w:t>
        </w:r>
      </w:hyperlink>
    </w:p>
    <w:p w14:paraId="6A497145" w14:textId="1E8B6060" w:rsidR="002544F8" w:rsidRDefault="006C122A" w:rsidP="002544F8">
      <w:pPr>
        <w:pStyle w:val="ListParagraph"/>
        <w:numPr>
          <w:ilvl w:val="0"/>
          <w:numId w:val="21"/>
        </w:numPr>
        <w:rPr>
          <w:rStyle w:val="Hyperlink"/>
        </w:rPr>
      </w:pPr>
      <w:r>
        <w:t xml:space="preserve">REBEL EM: </w:t>
      </w:r>
      <w:hyperlink r:id="rId8" w:history="1">
        <w:r w:rsidRPr="005066F6">
          <w:rPr>
            <w:rStyle w:val="Hyperlink"/>
          </w:rPr>
          <w:t xml:space="preserve">Does Use of </w:t>
        </w:r>
        <w:proofErr w:type="spellStart"/>
        <w:r w:rsidRPr="005066F6">
          <w:rPr>
            <w:rStyle w:val="Hyperlink"/>
          </w:rPr>
          <w:t>Tamsulosin</w:t>
        </w:r>
        <w:proofErr w:type="spellEnd"/>
        <w:r w:rsidRPr="005066F6">
          <w:rPr>
            <w:rStyle w:val="Hyperlink"/>
          </w:rPr>
          <w:t xml:space="preserve"> in Renal Colic Facilitate Stone Passage?</w:t>
        </w:r>
      </w:hyperlink>
    </w:p>
    <w:p w14:paraId="63FD0376" w14:textId="567ADA0B" w:rsidR="002544F8" w:rsidRPr="002544F8" w:rsidRDefault="002544F8" w:rsidP="002544F8">
      <w:pPr>
        <w:pStyle w:val="ListParagraph"/>
        <w:numPr>
          <w:ilvl w:val="0"/>
          <w:numId w:val="21"/>
        </w:numPr>
        <w:rPr>
          <w:rStyle w:val="Hyperlink"/>
          <w:color w:val="auto"/>
          <w:u w:val="none"/>
        </w:rPr>
      </w:pPr>
      <w:r w:rsidRPr="002544F8">
        <w:rPr>
          <w:rStyle w:val="Hyperlink"/>
          <w:color w:val="auto"/>
          <w:u w:val="none"/>
        </w:rPr>
        <w:t xml:space="preserve">REBEL EM: </w:t>
      </w:r>
      <w:hyperlink r:id="rId9" w:history="1">
        <w:r w:rsidRPr="002544F8">
          <w:rPr>
            <w:rStyle w:val="Hyperlink"/>
          </w:rPr>
          <w:t>Medical Expulsion Therapy in Ureteral Colic – An Update</w:t>
        </w:r>
      </w:hyperlink>
    </w:p>
    <w:p w14:paraId="7C7AB5BB" w14:textId="77777777" w:rsidR="002544F8" w:rsidRDefault="002544F8" w:rsidP="002544F8">
      <w:pPr>
        <w:rPr>
          <w:rStyle w:val="Hyperlink"/>
        </w:rPr>
      </w:pPr>
    </w:p>
    <w:p w14:paraId="07C928EF" w14:textId="77777777" w:rsidR="002544F8" w:rsidRDefault="002544F8" w:rsidP="002544F8">
      <w:pPr>
        <w:rPr>
          <w:b/>
        </w:rPr>
      </w:pPr>
    </w:p>
    <w:p w14:paraId="62135D0A" w14:textId="736A2787" w:rsidR="002544F8" w:rsidRPr="00F43183" w:rsidRDefault="002544F8" w:rsidP="002544F8">
      <w:pPr>
        <w:rPr>
          <w:b/>
        </w:rPr>
      </w:pPr>
      <w:bookmarkStart w:id="10" w:name="_GoBack"/>
      <w:bookmarkEnd w:id="10"/>
      <w:r w:rsidRPr="00F43183">
        <w:rPr>
          <w:b/>
        </w:rPr>
        <w:t>Topic</w:t>
      </w:r>
      <w:r>
        <w:rPr>
          <w:b/>
        </w:rPr>
        <w:t>#2</w:t>
      </w:r>
      <w:r w:rsidRPr="00F43183">
        <w:rPr>
          <w:b/>
        </w:rPr>
        <w:t xml:space="preserve">: </w:t>
      </w:r>
      <w:proofErr w:type="spellStart"/>
      <w:r w:rsidRPr="00F43183">
        <w:rPr>
          <w:b/>
        </w:rPr>
        <w:t>Broselow</w:t>
      </w:r>
      <w:proofErr w:type="spellEnd"/>
      <w:r w:rsidRPr="00F43183">
        <w:rPr>
          <w:b/>
        </w:rPr>
        <w:t xml:space="preserve"> Tape: Still a Reliable Estimator of Pediatric Weight?</w:t>
      </w:r>
    </w:p>
    <w:p w14:paraId="1BE52C24" w14:textId="77777777" w:rsidR="002544F8" w:rsidRDefault="002544F8" w:rsidP="002544F8"/>
    <w:p w14:paraId="41DB1CF2" w14:textId="77777777" w:rsidR="002544F8" w:rsidRPr="00F43183" w:rsidRDefault="002544F8" w:rsidP="002544F8">
      <w:pPr>
        <w:jc w:val="both"/>
      </w:pPr>
      <w:r w:rsidRPr="00B8460A">
        <w:rPr>
          <w:b/>
        </w:rPr>
        <w:t>Background:</w:t>
      </w:r>
      <w:r>
        <w:t xml:space="preserve"> </w:t>
      </w:r>
      <w:bookmarkStart w:id="11" w:name="OLE_LINK15"/>
      <w:bookmarkStart w:id="12" w:name="OLE_LINK16"/>
      <w:r>
        <w:t xml:space="preserve">In pediatric emergencies and resuscitation it is important to have an accurate estimate of a child’s weight.  Many including myself, use the </w:t>
      </w:r>
      <w:proofErr w:type="spellStart"/>
      <w:r>
        <w:t>Broselow</w:t>
      </w:r>
      <w:proofErr w:type="spellEnd"/>
      <w:r>
        <w:t xml:space="preserve"> Tape (BT), which was developed in the late 1980s, to help with drug dosages and equipment size.   More than 30 years later the World Health Organization referred to obesity as a global pandemic.  In Canada research has shown that the rates of obesity and overweight children has more than doubled in recent decades with more than one in three children considered overweight or obese.  In light of the increasing obesity rates, the BT may actually underestimate children’s weight and more importantly has not been revalidated in light of the childhood obesity epidemic.</w:t>
      </w:r>
    </w:p>
    <w:bookmarkEnd w:id="11"/>
    <w:bookmarkEnd w:id="12"/>
    <w:p w14:paraId="0DF24EC7" w14:textId="77777777" w:rsidR="002544F8" w:rsidRDefault="002544F8" w:rsidP="002544F8">
      <w:pPr>
        <w:jc w:val="both"/>
        <w:rPr>
          <w:b/>
        </w:rPr>
      </w:pPr>
    </w:p>
    <w:p w14:paraId="23C4DA1F" w14:textId="77777777" w:rsidR="002544F8" w:rsidRDefault="002544F8" w:rsidP="002544F8">
      <w:pPr>
        <w:jc w:val="both"/>
      </w:pPr>
      <w:r w:rsidRPr="00F43183">
        <w:rPr>
          <w:b/>
        </w:rPr>
        <w:t>Question:</w:t>
      </w:r>
      <w:r>
        <w:t xml:space="preserve"> </w:t>
      </w:r>
      <w:bookmarkStart w:id="13" w:name="OLE_LINK11"/>
      <w:bookmarkStart w:id="14" w:name="OLE_LINK12"/>
      <w:r>
        <w:t xml:space="preserve">In the era of epidemic obesity in children, is the </w:t>
      </w:r>
      <w:proofErr w:type="spellStart"/>
      <w:r>
        <w:t>Broselow</w:t>
      </w:r>
      <w:proofErr w:type="spellEnd"/>
      <w:r>
        <w:t xml:space="preserve"> Tape (BT) still a reliable tool to estimate the weight of children?</w:t>
      </w:r>
    </w:p>
    <w:bookmarkEnd w:id="13"/>
    <w:bookmarkEnd w:id="14"/>
    <w:p w14:paraId="51F0A915" w14:textId="77777777" w:rsidR="002544F8" w:rsidRDefault="002544F8" w:rsidP="002544F8">
      <w:pPr>
        <w:jc w:val="both"/>
      </w:pPr>
    </w:p>
    <w:p w14:paraId="189371F5" w14:textId="77777777" w:rsidR="002544F8" w:rsidRDefault="002544F8" w:rsidP="002544F8">
      <w:pPr>
        <w:jc w:val="both"/>
      </w:pPr>
      <w:r w:rsidRPr="00F43183">
        <w:rPr>
          <w:b/>
        </w:rPr>
        <w:t>Article:</w:t>
      </w:r>
      <w:r>
        <w:t xml:space="preserve"> </w:t>
      </w:r>
      <w:bookmarkStart w:id="15" w:name="OLE_LINK13"/>
      <w:bookmarkStart w:id="16" w:name="OLE_LINK14"/>
      <w:r>
        <w:t xml:space="preserve">Milne WK et al. Ontario children have outgrown the </w:t>
      </w:r>
      <w:proofErr w:type="spellStart"/>
      <w:r>
        <w:t>Broselow</w:t>
      </w:r>
      <w:proofErr w:type="spellEnd"/>
      <w:r>
        <w:t xml:space="preserve"> tape. </w:t>
      </w:r>
      <w:proofErr w:type="gramStart"/>
      <w:r>
        <w:t>CJEM 2012; 14(1): 25-30.</w:t>
      </w:r>
      <w:proofErr w:type="gramEnd"/>
      <w:r>
        <w:t xml:space="preserve"> </w:t>
      </w:r>
      <w:hyperlink r:id="rId10" w:history="1">
        <w:r w:rsidRPr="00F43183">
          <w:rPr>
            <w:rStyle w:val="Hyperlink"/>
          </w:rPr>
          <w:t>PMID: 22417954</w:t>
        </w:r>
      </w:hyperlink>
    </w:p>
    <w:bookmarkEnd w:id="15"/>
    <w:bookmarkEnd w:id="16"/>
    <w:p w14:paraId="6B8789FC" w14:textId="77777777" w:rsidR="002544F8" w:rsidRDefault="002544F8" w:rsidP="002544F8">
      <w:pPr>
        <w:jc w:val="both"/>
      </w:pPr>
    </w:p>
    <w:p w14:paraId="49C57B69" w14:textId="77777777" w:rsidR="002544F8" w:rsidRPr="00F43183" w:rsidRDefault="002544F8" w:rsidP="002544F8">
      <w:pPr>
        <w:jc w:val="both"/>
        <w:rPr>
          <w:b/>
        </w:rPr>
      </w:pPr>
      <w:r w:rsidRPr="00F43183">
        <w:rPr>
          <w:b/>
        </w:rPr>
        <w:t xml:space="preserve">What they did: </w:t>
      </w:r>
    </w:p>
    <w:p w14:paraId="381C5685" w14:textId="77777777" w:rsidR="002544F8" w:rsidRDefault="002544F8" w:rsidP="002544F8">
      <w:pPr>
        <w:pStyle w:val="ListParagraph"/>
        <w:numPr>
          <w:ilvl w:val="0"/>
          <w:numId w:val="17"/>
        </w:numPr>
        <w:jc w:val="both"/>
      </w:pPr>
      <w:bookmarkStart w:id="17" w:name="OLE_LINK17"/>
      <w:bookmarkStart w:id="18" w:name="OLE_LINK18"/>
      <w:r>
        <w:t>Prospective observation cohort study including 6,361 children in Ontario, Canada.</w:t>
      </w:r>
    </w:p>
    <w:p w14:paraId="322FEAF5" w14:textId="77777777" w:rsidR="002544F8" w:rsidRDefault="002544F8" w:rsidP="002544F8">
      <w:pPr>
        <w:pStyle w:val="ListParagraph"/>
        <w:numPr>
          <w:ilvl w:val="0"/>
          <w:numId w:val="17"/>
        </w:numPr>
        <w:jc w:val="both"/>
      </w:pPr>
      <w:r>
        <w:t>Compared actual weights vs. weight estimates using BT (2002A)</w:t>
      </w:r>
    </w:p>
    <w:bookmarkEnd w:id="17"/>
    <w:bookmarkEnd w:id="18"/>
    <w:p w14:paraId="73558D25" w14:textId="77777777" w:rsidR="002544F8" w:rsidRDefault="002544F8" w:rsidP="002544F8">
      <w:pPr>
        <w:jc w:val="both"/>
      </w:pPr>
    </w:p>
    <w:p w14:paraId="3414C3F8" w14:textId="77777777" w:rsidR="002544F8" w:rsidRPr="007C3737" w:rsidRDefault="002544F8" w:rsidP="002544F8">
      <w:pPr>
        <w:jc w:val="both"/>
        <w:rPr>
          <w:b/>
        </w:rPr>
      </w:pPr>
      <w:r w:rsidRPr="007C3737">
        <w:rPr>
          <w:b/>
        </w:rPr>
        <w:t>Results:</w:t>
      </w:r>
    </w:p>
    <w:p w14:paraId="1BAEE0EE" w14:textId="77777777" w:rsidR="002544F8" w:rsidRDefault="002544F8" w:rsidP="002544F8">
      <w:pPr>
        <w:pStyle w:val="ListParagraph"/>
        <w:numPr>
          <w:ilvl w:val="0"/>
          <w:numId w:val="17"/>
        </w:numPr>
        <w:jc w:val="both"/>
      </w:pPr>
      <w:r>
        <w:t>6,361 children</w:t>
      </w:r>
    </w:p>
    <w:p w14:paraId="1EF7CA27" w14:textId="77777777" w:rsidR="002544F8" w:rsidRDefault="002544F8" w:rsidP="002544F8">
      <w:pPr>
        <w:pStyle w:val="ListParagraph"/>
        <w:numPr>
          <w:ilvl w:val="1"/>
          <w:numId w:val="17"/>
        </w:numPr>
        <w:jc w:val="both"/>
      </w:pPr>
      <w:r>
        <w:t>46.2% female</w:t>
      </w:r>
    </w:p>
    <w:p w14:paraId="2312FCC8" w14:textId="77777777" w:rsidR="002544F8" w:rsidRDefault="002544F8" w:rsidP="002544F8">
      <w:pPr>
        <w:pStyle w:val="ListParagraph"/>
        <w:numPr>
          <w:ilvl w:val="1"/>
          <w:numId w:val="17"/>
        </w:numPr>
        <w:jc w:val="both"/>
      </w:pPr>
      <w:r>
        <w:t>Median age 3.9 years</w:t>
      </w:r>
    </w:p>
    <w:p w14:paraId="2A784A7E" w14:textId="77777777" w:rsidR="002544F8" w:rsidRDefault="002544F8" w:rsidP="002544F8">
      <w:pPr>
        <w:pStyle w:val="ListParagraph"/>
        <w:numPr>
          <w:ilvl w:val="1"/>
          <w:numId w:val="17"/>
        </w:numPr>
        <w:jc w:val="both"/>
      </w:pPr>
      <w:r>
        <w:t>Median weight 17.2 kg</w:t>
      </w:r>
    </w:p>
    <w:p w14:paraId="63CE8256" w14:textId="77777777" w:rsidR="002544F8" w:rsidRDefault="002544F8" w:rsidP="002544F8">
      <w:pPr>
        <w:pStyle w:val="ListParagraph"/>
        <w:numPr>
          <w:ilvl w:val="1"/>
          <w:numId w:val="17"/>
        </w:numPr>
        <w:jc w:val="both"/>
      </w:pPr>
      <w:r>
        <w:t>Median height 103.5cm</w:t>
      </w:r>
    </w:p>
    <w:p w14:paraId="046B10C9" w14:textId="77777777" w:rsidR="002544F8" w:rsidRDefault="002544F8" w:rsidP="002544F8">
      <w:pPr>
        <w:pStyle w:val="ListParagraph"/>
        <w:numPr>
          <w:ilvl w:val="0"/>
          <w:numId w:val="17"/>
        </w:numPr>
        <w:jc w:val="both"/>
      </w:pPr>
      <w:r>
        <w:t>Overall, good correlation between BT and actual weight (p&lt;0.0001)</w:t>
      </w:r>
    </w:p>
    <w:p w14:paraId="1A6FA5F2" w14:textId="77777777" w:rsidR="002544F8" w:rsidRDefault="002544F8" w:rsidP="002544F8">
      <w:pPr>
        <w:pStyle w:val="ListParagraph"/>
        <w:numPr>
          <w:ilvl w:val="1"/>
          <w:numId w:val="17"/>
        </w:numPr>
        <w:jc w:val="both"/>
      </w:pPr>
      <w:r>
        <w:t xml:space="preserve">Found 7.1% bias to underestimate actual weight (Used percent error of 10% to signify significance) </w:t>
      </w:r>
    </w:p>
    <w:p w14:paraId="483DEDDC" w14:textId="77777777" w:rsidR="002544F8" w:rsidRDefault="002544F8" w:rsidP="002544F8">
      <w:pPr>
        <w:pStyle w:val="ListParagraph"/>
        <w:numPr>
          <w:ilvl w:val="1"/>
          <w:numId w:val="17"/>
        </w:numPr>
        <w:jc w:val="both"/>
      </w:pPr>
      <w:r>
        <w:t>43.7% of weights were found to have ≥10% percent error (This did not reach statistical significance)</w:t>
      </w:r>
    </w:p>
    <w:p w14:paraId="0ADAEC90" w14:textId="77777777" w:rsidR="002544F8" w:rsidRPr="007C3737" w:rsidRDefault="002544F8" w:rsidP="002544F8">
      <w:pPr>
        <w:jc w:val="both"/>
        <w:rPr>
          <w:b/>
        </w:rPr>
      </w:pPr>
      <w:r w:rsidRPr="007C3737">
        <w:rPr>
          <w:b/>
        </w:rPr>
        <w:t>Strength</w:t>
      </w:r>
      <w:r>
        <w:rPr>
          <w:b/>
        </w:rPr>
        <w:t>s</w:t>
      </w:r>
      <w:r w:rsidRPr="007C3737">
        <w:rPr>
          <w:b/>
        </w:rPr>
        <w:t>:</w:t>
      </w:r>
    </w:p>
    <w:p w14:paraId="0BB20969" w14:textId="77777777" w:rsidR="002544F8" w:rsidRDefault="002544F8" w:rsidP="002544F8">
      <w:pPr>
        <w:pStyle w:val="ListParagraph"/>
        <w:numPr>
          <w:ilvl w:val="0"/>
          <w:numId w:val="18"/>
        </w:numPr>
        <w:jc w:val="both"/>
      </w:pPr>
      <w:r>
        <w:t>Variety of settings where children’s measurements were collected</w:t>
      </w:r>
    </w:p>
    <w:p w14:paraId="481FC45B" w14:textId="77777777" w:rsidR="002544F8" w:rsidRDefault="002544F8" w:rsidP="002544F8">
      <w:pPr>
        <w:pStyle w:val="ListParagraph"/>
        <w:numPr>
          <w:ilvl w:val="0"/>
          <w:numId w:val="18"/>
        </w:numPr>
        <w:jc w:val="both"/>
      </w:pPr>
      <w:r>
        <w:t>Over 6,000 children measured, which is the largest study ever performed to validate the BT in Canada</w:t>
      </w:r>
    </w:p>
    <w:p w14:paraId="05BCAE47" w14:textId="77777777" w:rsidR="002544F8" w:rsidRDefault="002544F8" w:rsidP="002544F8">
      <w:pPr>
        <w:jc w:val="both"/>
      </w:pPr>
    </w:p>
    <w:p w14:paraId="32769DC1" w14:textId="77777777" w:rsidR="002544F8" w:rsidRDefault="002544F8" w:rsidP="002544F8">
      <w:pPr>
        <w:jc w:val="both"/>
        <w:rPr>
          <w:b/>
        </w:rPr>
      </w:pPr>
      <w:r w:rsidRPr="007C3737">
        <w:rPr>
          <w:b/>
        </w:rPr>
        <w:t>Limitations:</w:t>
      </w:r>
    </w:p>
    <w:p w14:paraId="0B8EC54A" w14:textId="77777777" w:rsidR="002544F8" w:rsidRDefault="002544F8" w:rsidP="002544F8">
      <w:pPr>
        <w:pStyle w:val="ListParagraph"/>
        <w:numPr>
          <w:ilvl w:val="0"/>
          <w:numId w:val="20"/>
        </w:numPr>
        <w:jc w:val="both"/>
      </w:pPr>
      <w:r>
        <w:t>Children in the rural population did not have the age in months recorded</w:t>
      </w:r>
    </w:p>
    <w:p w14:paraId="7F3368FE" w14:textId="77777777" w:rsidR="002544F8" w:rsidRPr="00A771A5" w:rsidRDefault="002544F8" w:rsidP="002544F8">
      <w:pPr>
        <w:pStyle w:val="ListParagraph"/>
        <w:numPr>
          <w:ilvl w:val="0"/>
          <w:numId w:val="20"/>
        </w:numPr>
        <w:jc w:val="both"/>
      </w:pPr>
      <w:r>
        <w:t>The assumption that this particular cohort of young healthy children has the same weight as a population of children requiring resuscitation</w:t>
      </w:r>
    </w:p>
    <w:p w14:paraId="724FD28E" w14:textId="77777777" w:rsidR="002544F8" w:rsidRDefault="002544F8" w:rsidP="002544F8">
      <w:pPr>
        <w:jc w:val="both"/>
      </w:pPr>
    </w:p>
    <w:p w14:paraId="7B4D7C35" w14:textId="77777777" w:rsidR="002544F8" w:rsidRPr="00A03DF7" w:rsidRDefault="002544F8" w:rsidP="002544F8">
      <w:pPr>
        <w:jc w:val="both"/>
        <w:rPr>
          <w:b/>
        </w:rPr>
      </w:pPr>
      <w:r w:rsidRPr="00A03DF7">
        <w:rPr>
          <w:b/>
        </w:rPr>
        <w:t>Discussion:</w:t>
      </w:r>
    </w:p>
    <w:p w14:paraId="66A2E960" w14:textId="77777777" w:rsidR="002544F8" w:rsidRDefault="002544F8" w:rsidP="002544F8">
      <w:pPr>
        <w:pStyle w:val="ListParagraph"/>
        <w:numPr>
          <w:ilvl w:val="0"/>
          <w:numId w:val="19"/>
        </w:numPr>
        <w:jc w:val="both"/>
      </w:pPr>
      <w:r>
        <w:t>Pediatric Advanced Life Support (PALS) guidelines recommend a dose of 0.01mg/kg of epinephrine when indicated by IV or IO routes and /or three shocks of increasing intensity (2, 2 – 4, and 4 J/kg).  Based on this study, children from Ontario are at risk of under dosing, which could affect the success of resuscitation</w:t>
      </w:r>
    </w:p>
    <w:p w14:paraId="12DFE5EA" w14:textId="77777777" w:rsidR="002544F8" w:rsidRDefault="002544F8" w:rsidP="002544F8">
      <w:pPr>
        <w:jc w:val="both"/>
      </w:pPr>
    </w:p>
    <w:p w14:paraId="3283F3E9" w14:textId="77777777" w:rsidR="002544F8" w:rsidRPr="00A771A5" w:rsidRDefault="002544F8" w:rsidP="002544F8">
      <w:pPr>
        <w:jc w:val="both"/>
        <w:rPr>
          <w:b/>
        </w:rPr>
      </w:pPr>
      <w:r>
        <w:rPr>
          <w:b/>
        </w:rPr>
        <w:t xml:space="preserve">Clinical </w:t>
      </w:r>
      <w:r w:rsidRPr="00A771A5">
        <w:rPr>
          <w:b/>
        </w:rPr>
        <w:t>Bottom line:</w:t>
      </w:r>
    </w:p>
    <w:p w14:paraId="0B310A70" w14:textId="77777777" w:rsidR="002544F8" w:rsidRDefault="002544F8" w:rsidP="002544F8">
      <w:pPr>
        <w:jc w:val="both"/>
      </w:pPr>
      <w:r>
        <w:tab/>
        <w:t xml:space="preserve">The </w:t>
      </w:r>
      <w:proofErr w:type="spellStart"/>
      <w:r>
        <w:t>Broselow</w:t>
      </w:r>
      <w:proofErr w:type="spellEnd"/>
      <w:r>
        <w:t xml:space="preserve"> tape remains a good estimate of weight in pediatric patients, but it is just that, an estimate. With the growing population of overweight and obese children, there is a very real chance the BT will underestimate the actual weight. This has the potential for clinical consequences, such as under dosing of medications and using equipment that is too small.</w:t>
      </w:r>
    </w:p>
    <w:p w14:paraId="23207E98" w14:textId="77777777" w:rsidR="002544F8" w:rsidRDefault="002544F8" w:rsidP="006C122A"/>
    <w:bookmarkEnd w:id="8"/>
    <w:bookmarkEnd w:id="9"/>
    <w:p w14:paraId="1CA23EE4" w14:textId="77777777" w:rsidR="006C122A" w:rsidRPr="000868D9" w:rsidRDefault="006C122A" w:rsidP="00442E27">
      <w:pPr>
        <w:jc w:val="both"/>
      </w:pPr>
    </w:p>
    <w:sectPr w:rsidR="006C122A" w:rsidRPr="000868D9"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08C"/>
    <w:multiLevelType w:val="hybridMultilevel"/>
    <w:tmpl w:val="3DF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02C9"/>
    <w:multiLevelType w:val="hybridMultilevel"/>
    <w:tmpl w:val="31A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14DE"/>
    <w:multiLevelType w:val="hybridMultilevel"/>
    <w:tmpl w:val="85B4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7355F"/>
    <w:multiLevelType w:val="hybridMultilevel"/>
    <w:tmpl w:val="60F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7267C"/>
    <w:multiLevelType w:val="hybridMultilevel"/>
    <w:tmpl w:val="2702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F3A53"/>
    <w:multiLevelType w:val="hybridMultilevel"/>
    <w:tmpl w:val="6E8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C0D"/>
    <w:multiLevelType w:val="hybridMultilevel"/>
    <w:tmpl w:val="114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E6E15"/>
    <w:multiLevelType w:val="hybridMultilevel"/>
    <w:tmpl w:val="D2023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23503"/>
    <w:multiLevelType w:val="hybridMultilevel"/>
    <w:tmpl w:val="BF887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B55A0"/>
    <w:multiLevelType w:val="hybridMultilevel"/>
    <w:tmpl w:val="34A2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75D41"/>
    <w:multiLevelType w:val="hybridMultilevel"/>
    <w:tmpl w:val="A322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F6A33"/>
    <w:multiLevelType w:val="hybridMultilevel"/>
    <w:tmpl w:val="FD28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80885"/>
    <w:multiLevelType w:val="hybridMultilevel"/>
    <w:tmpl w:val="F196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00713"/>
    <w:multiLevelType w:val="hybridMultilevel"/>
    <w:tmpl w:val="3728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B6353"/>
    <w:multiLevelType w:val="hybridMultilevel"/>
    <w:tmpl w:val="81BC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272B6"/>
    <w:multiLevelType w:val="hybridMultilevel"/>
    <w:tmpl w:val="E4D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0368B"/>
    <w:multiLevelType w:val="hybridMultilevel"/>
    <w:tmpl w:val="6996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F1F75"/>
    <w:multiLevelType w:val="hybridMultilevel"/>
    <w:tmpl w:val="045A6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22B08"/>
    <w:multiLevelType w:val="hybridMultilevel"/>
    <w:tmpl w:val="3D56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01F7A"/>
    <w:multiLevelType w:val="hybridMultilevel"/>
    <w:tmpl w:val="8C62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65B4C"/>
    <w:multiLevelType w:val="hybridMultilevel"/>
    <w:tmpl w:val="830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1"/>
  </w:num>
  <w:num w:numId="5">
    <w:abstractNumId w:val="12"/>
  </w:num>
  <w:num w:numId="6">
    <w:abstractNumId w:val="13"/>
  </w:num>
  <w:num w:numId="7">
    <w:abstractNumId w:val="7"/>
  </w:num>
  <w:num w:numId="8">
    <w:abstractNumId w:val="10"/>
  </w:num>
  <w:num w:numId="9">
    <w:abstractNumId w:val="19"/>
  </w:num>
  <w:num w:numId="10">
    <w:abstractNumId w:val="2"/>
  </w:num>
  <w:num w:numId="11">
    <w:abstractNumId w:val="16"/>
  </w:num>
  <w:num w:numId="12">
    <w:abstractNumId w:val="3"/>
  </w:num>
  <w:num w:numId="13">
    <w:abstractNumId w:val="5"/>
  </w:num>
  <w:num w:numId="14">
    <w:abstractNumId w:val="8"/>
  </w:num>
  <w:num w:numId="15">
    <w:abstractNumId w:val="18"/>
  </w:num>
  <w:num w:numId="16">
    <w:abstractNumId w:val="17"/>
  </w:num>
  <w:num w:numId="17">
    <w:abstractNumId w:val="11"/>
  </w:num>
  <w:num w:numId="18">
    <w:abstractNumId w:val="4"/>
  </w:num>
  <w:num w:numId="19">
    <w:abstractNumId w:val="14"/>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9C"/>
    <w:rsid w:val="000157C2"/>
    <w:rsid w:val="00045512"/>
    <w:rsid w:val="000868D9"/>
    <w:rsid w:val="00092A9C"/>
    <w:rsid w:val="000F70B4"/>
    <w:rsid w:val="001929F5"/>
    <w:rsid w:val="00194D15"/>
    <w:rsid w:val="001D45CA"/>
    <w:rsid w:val="00201233"/>
    <w:rsid w:val="002544F8"/>
    <w:rsid w:val="00276F28"/>
    <w:rsid w:val="002D566A"/>
    <w:rsid w:val="002E4517"/>
    <w:rsid w:val="00302F59"/>
    <w:rsid w:val="0031752A"/>
    <w:rsid w:val="00383FF1"/>
    <w:rsid w:val="003E2D52"/>
    <w:rsid w:val="00442E27"/>
    <w:rsid w:val="00495BF5"/>
    <w:rsid w:val="004B2AC8"/>
    <w:rsid w:val="00511165"/>
    <w:rsid w:val="005162A0"/>
    <w:rsid w:val="00542391"/>
    <w:rsid w:val="005B1154"/>
    <w:rsid w:val="006930CF"/>
    <w:rsid w:val="006B33EE"/>
    <w:rsid w:val="006C122A"/>
    <w:rsid w:val="00823B3C"/>
    <w:rsid w:val="008C61AD"/>
    <w:rsid w:val="008C6E7C"/>
    <w:rsid w:val="009B7C85"/>
    <w:rsid w:val="00A11249"/>
    <w:rsid w:val="00A467D5"/>
    <w:rsid w:val="00A5738B"/>
    <w:rsid w:val="00AF4636"/>
    <w:rsid w:val="00B43920"/>
    <w:rsid w:val="00B5005F"/>
    <w:rsid w:val="00B8460A"/>
    <w:rsid w:val="00BA3818"/>
    <w:rsid w:val="00C76036"/>
    <w:rsid w:val="00CA398C"/>
    <w:rsid w:val="00D46448"/>
    <w:rsid w:val="00D47942"/>
    <w:rsid w:val="00D52782"/>
    <w:rsid w:val="00D62EC0"/>
    <w:rsid w:val="00D82695"/>
    <w:rsid w:val="00D83B7D"/>
    <w:rsid w:val="00D97C85"/>
    <w:rsid w:val="00DA7148"/>
    <w:rsid w:val="00DD3273"/>
    <w:rsid w:val="00DE3F76"/>
    <w:rsid w:val="00DF3A3F"/>
    <w:rsid w:val="00DF5BD8"/>
    <w:rsid w:val="00E52DE3"/>
    <w:rsid w:val="00E8396C"/>
    <w:rsid w:val="00ED7106"/>
    <w:rsid w:val="00FA251B"/>
    <w:rsid w:val="00FA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FB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42"/>
    <w:pPr>
      <w:ind w:left="720"/>
      <w:contextualSpacing/>
    </w:pPr>
  </w:style>
  <w:style w:type="character" w:styleId="Hyperlink">
    <w:name w:val="Hyperlink"/>
    <w:basedOn w:val="DefaultParagraphFont"/>
    <w:uiPriority w:val="99"/>
    <w:unhideWhenUsed/>
    <w:rsid w:val="000868D9"/>
    <w:rPr>
      <w:color w:val="0000FF" w:themeColor="hyperlink"/>
      <w:u w:val="single"/>
    </w:rPr>
  </w:style>
  <w:style w:type="character" w:styleId="FollowedHyperlink">
    <w:name w:val="FollowedHyperlink"/>
    <w:basedOn w:val="DefaultParagraphFont"/>
    <w:uiPriority w:val="99"/>
    <w:semiHidden/>
    <w:unhideWhenUsed/>
    <w:rsid w:val="00302F59"/>
    <w:rPr>
      <w:color w:val="800080" w:themeColor="followedHyperlink"/>
      <w:u w:val="single"/>
    </w:rPr>
  </w:style>
  <w:style w:type="paragraph" w:styleId="BalloonText">
    <w:name w:val="Balloon Text"/>
    <w:basedOn w:val="Normal"/>
    <w:link w:val="BalloonTextChar"/>
    <w:uiPriority w:val="99"/>
    <w:semiHidden/>
    <w:unhideWhenUsed/>
    <w:rsid w:val="00D97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C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7C85"/>
    <w:rPr>
      <w:sz w:val="18"/>
      <w:szCs w:val="18"/>
    </w:rPr>
  </w:style>
  <w:style w:type="paragraph" w:styleId="CommentText">
    <w:name w:val="annotation text"/>
    <w:basedOn w:val="Normal"/>
    <w:link w:val="CommentTextChar"/>
    <w:uiPriority w:val="99"/>
    <w:semiHidden/>
    <w:unhideWhenUsed/>
    <w:rsid w:val="00D97C85"/>
  </w:style>
  <w:style w:type="character" w:customStyle="1" w:styleId="CommentTextChar">
    <w:name w:val="Comment Text Char"/>
    <w:basedOn w:val="DefaultParagraphFont"/>
    <w:link w:val="CommentText"/>
    <w:uiPriority w:val="99"/>
    <w:semiHidden/>
    <w:rsid w:val="00D97C85"/>
  </w:style>
  <w:style w:type="paragraph" w:styleId="CommentSubject">
    <w:name w:val="annotation subject"/>
    <w:basedOn w:val="CommentText"/>
    <w:next w:val="CommentText"/>
    <w:link w:val="CommentSubjectChar"/>
    <w:uiPriority w:val="99"/>
    <w:semiHidden/>
    <w:unhideWhenUsed/>
    <w:rsid w:val="00D97C85"/>
    <w:rPr>
      <w:b/>
      <w:bCs/>
      <w:sz w:val="20"/>
      <w:szCs w:val="20"/>
    </w:rPr>
  </w:style>
  <w:style w:type="character" w:customStyle="1" w:styleId="CommentSubjectChar">
    <w:name w:val="Comment Subject Char"/>
    <w:basedOn w:val="CommentTextChar"/>
    <w:link w:val="CommentSubject"/>
    <w:uiPriority w:val="99"/>
    <w:semiHidden/>
    <w:rsid w:val="00D97C8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42"/>
    <w:pPr>
      <w:ind w:left="720"/>
      <w:contextualSpacing/>
    </w:pPr>
  </w:style>
  <w:style w:type="character" w:styleId="Hyperlink">
    <w:name w:val="Hyperlink"/>
    <w:basedOn w:val="DefaultParagraphFont"/>
    <w:uiPriority w:val="99"/>
    <w:unhideWhenUsed/>
    <w:rsid w:val="000868D9"/>
    <w:rPr>
      <w:color w:val="0000FF" w:themeColor="hyperlink"/>
      <w:u w:val="single"/>
    </w:rPr>
  </w:style>
  <w:style w:type="character" w:styleId="FollowedHyperlink">
    <w:name w:val="FollowedHyperlink"/>
    <w:basedOn w:val="DefaultParagraphFont"/>
    <w:uiPriority w:val="99"/>
    <w:semiHidden/>
    <w:unhideWhenUsed/>
    <w:rsid w:val="00302F59"/>
    <w:rPr>
      <w:color w:val="800080" w:themeColor="followedHyperlink"/>
      <w:u w:val="single"/>
    </w:rPr>
  </w:style>
  <w:style w:type="paragraph" w:styleId="BalloonText">
    <w:name w:val="Balloon Text"/>
    <w:basedOn w:val="Normal"/>
    <w:link w:val="BalloonTextChar"/>
    <w:uiPriority w:val="99"/>
    <w:semiHidden/>
    <w:unhideWhenUsed/>
    <w:rsid w:val="00D97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C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7C85"/>
    <w:rPr>
      <w:sz w:val="18"/>
      <w:szCs w:val="18"/>
    </w:rPr>
  </w:style>
  <w:style w:type="paragraph" w:styleId="CommentText">
    <w:name w:val="annotation text"/>
    <w:basedOn w:val="Normal"/>
    <w:link w:val="CommentTextChar"/>
    <w:uiPriority w:val="99"/>
    <w:semiHidden/>
    <w:unhideWhenUsed/>
    <w:rsid w:val="00D97C85"/>
  </w:style>
  <w:style w:type="character" w:customStyle="1" w:styleId="CommentTextChar">
    <w:name w:val="Comment Text Char"/>
    <w:basedOn w:val="DefaultParagraphFont"/>
    <w:link w:val="CommentText"/>
    <w:uiPriority w:val="99"/>
    <w:semiHidden/>
    <w:rsid w:val="00D97C85"/>
  </w:style>
  <w:style w:type="paragraph" w:styleId="CommentSubject">
    <w:name w:val="annotation subject"/>
    <w:basedOn w:val="CommentText"/>
    <w:next w:val="CommentText"/>
    <w:link w:val="CommentSubjectChar"/>
    <w:uiPriority w:val="99"/>
    <w:semiHidden/>
    <w:unhideWhenUsed/>
    <w:rsid w:val="00D97C85"/>
    <w:rPr>
      <w:b/>
      <w:bCs/>
      <w:sz w:val="20"/>
      <w:szCs w:val="20"/>
    </w:rPr>
  </w:style>
  <w:style w:type="character" w:customStyle="1" w:styleId="CommentSubjectChar">
    <w:name w:val="Comment Subject Char"/>
    <w:basedOn w:val="CommentTextChar"/>
    <w:link w:val="CommentSubject"/>
    <w:uiPriority w:val="99"/>
    <w:semiHidden/>
    <w:rsid w:val="00D97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5998582" TargetMode="External"/><Relationship Id="rId7" Type="http://schemas.openxmlformats.org/officeDocument/2006/relationships/hyperlink" Target="http://www.emlitofnote.com/2015/05/finally-end-to-tamulosin-for-renal-colic.html" TargetMode="External"/><Relationship Id="rId8" Type="http://schemas.openxmlformats.org/officeDocument/2006/relationships/hyperlink" Target="http://rebelem.com/use-tamsulosin-renal-colic-facilitate-stone-passage/" TargetMode="External"/><Relationship Id="rId9" Type="http://schemas.openxmlformats.org/officeDocument/2006/relationships/hyperlink" Target="http://rebelem.com/medical-expulsion-therapy-in-ureteral-colic-an-update/" TargetMode="External"/><Relationship Id="rId10" Type="http://schemas.openxmlformats.org/officeDocument/2006/relationships/hyperlink" Target="http://www.ncbi.nlm.nih.gov/pubmed/22417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6134</Characters>
  <Application>Microsoft Macintosh Word</Application>
  <DocSecurity>0</DocSecurity>
  <Lines>51</Lines>
  <Paragraphs>14</Paragraphs>
  <ScaleCrop>false</ScaleCrop>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2</cp:revision>
  <dcterms:created xsi:type="dcterms:W3CDTF">2015-08-09T02:33:00Z</dcterms:created>
  <dcterms:modified xsi:type="dcterms:W3CDTF">2015-08-09T02:33:00Z</dcterms:modified>
</cp:coreProperties>
</file>