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766C" w14:textId="77777777" w:rsidR="008E585B" w:rsidRPr="000B3307" w:rsidRDefault="000B3307" w:rsidP="008E585B">
      <w:pPr>
        <w:jc w:val="center"/>
        <w:rPr>
          <w:rFonts w:ascii="Arial Black" w:hAnsi="Arial Black"/>
          <w:sz w:val="40"/>
          <w:szCs w:val="40"/>
        </w:rPr>
      </w:pPr>
      <w:r w:rsidRPr="000B3307">
        <w:rPr>
          <w:rFonts w:ascii="Arial Black" w:hAnsi="Arial Black"/>
          <w:sz w:val="40"/>
          <w:szCs w:val="40"/>
        </w:rPr>
        <w:t xml:space="preserve">July 2014 </w:t>
      </w:r>
      <w:proofErr w:type="spellStart"/>
      <w:r w:rsidRPr="000B3307">
        <w:rPr>
          <w:rFonts w:ascii="Arial Black" w:hAnsi="Arial Black"/>
          <w:sz w:val="40"/>
          <w:szCs w:val="40"/>
        </w:rPr>
        <w:t>REBELCast</w:t>
      </w:r>
      <w:proofErr w:type="spellEnd"/>
      <w:r w:rsidRPr="000B3307">
        <w:rPr>
          <w:rFonts w:ascii="Arial Black" w:hAnsi="Arial Black"/>
          <w:sz w:val="40"/>
          <w:szCs w:val="40"/>
        </w:rPr>
        <w:t xml:space="preserve"> Episode 1 </w:t>
      </w:r>
      <w:r w:rsidR="002A6204" w:rsidRPr="000B3307">
        <w:rPr>
          <w:rFonts w:ascii="Arial Black" w:hAnsi="Arial Black"/>
          <w:sz w:val="40"/>
          <w:szCs w:val="40"/>
        </w:rPr>
        <w:t>Show Notes</w:t>
      </w:r>
    </w:p>
    <w:p w14:paraId="1931FBFB" w14:textId="77777777" w:rsidR="002A6204" w:rsidRPr="000B3307" w:rsidRDefault="002A6204" w:rsidP="008E585B">
      <w:pPr>
        <w:rPr>
          <w:rFonts w:ascii="Arial" w:hAnsi="Arial"/>
          <w:sz w:val="28"/>
          <w:szCs w:val="28"/>
        </w:rPr>
      </w:pPr>
    </w:p>
    <w:p w14:paraId="2D9C917E" w14:textId="77777777" w:rsidR="002A6204" w:rsidRPr="000B3307" w:rsidRDefault="002A6204" w:rsidP="000B3307">
      <w:pPr>
        <w:jc w:val="both"/>
        <w:rPr>
          <w:rFonts w:ascii="Arial" w:hAnsi="Arial"/>
          <w:sz w:val="28"/>
          <w:szCs w:val="28"/>
        </w:rPr>
      </w:pPr>
      <w:r w:rsidRPr="000B3307">
        <w:rPr>
          <w:rFonts w:ascii="Arial" w:hAnsi="Arial"/>
          <w:b/>
          <w:sz w:val="28"/>
          <w:szCs w:val="28"/>
        </w:rPr>
        <w:t>Topic #1:</w:t>
      </w:r>
      <w:r w:rsidRPr="000B3307">
        <w:rPr>
          <w:rFonts w:ascii="Arial" w:hAnsi="Arial"/>
          <w:sz w:val="28"/>
          <w:szCs w:val="28"/>
        </w:rPr>
        <w:t xml:space="preserve"> Clinically Important Biphasic Anaphylaxis</w:t>
      </w:r>
    </w:p>
    <w:p w14:paraId="6A866949" w14:textId="77777777" w:rsidR="002A6204" w:rsidRPr="000B3307" w:rsidRDefault="002A6204" w:rsidP="000B3307">
      <w:pPr>
        <w:jc w:val="both"/>
        <w:rPr>
          <w:rFonts w:ascii="Arial" w:hAnsi="Arial"/>
          <w:b/>
          <w:sz w:val="28"/>
          <w:szCs w:val="28"/>
        </w:rPr>
      </w:pPr>
    </w:p>
    <w:p w14:paraId="4181FF8B" w14:textId="77777777" w:rsidR="002A6204" w:rsidRPr="000B3307" w:rsidRDefault="002A6204" w:rsidP="000B3307">
      <w:pPr>
        <w:jc w:val="both"/>
        <w:rPr>
          <w:rFonts w:ascii="Arial" w:hAnsi="Arial"/>
          <w:b/>
          <w:sz w:val="28"/>
          <w:szCs w:val="28"/>
        </w:rPr>
      </w:pPr>
      <w:r w:rsidRPr="000B3307">
        <w:rPr>
          <w:rFonts w:ascii="Arial" w:hAnsi="Arial"/>
          <w:b/>
          <w:sz w:val="28"/>
          <w:szCs w:val="28"/>
        </w:rPr>
        <w:t xml:space="preserve">Clinical Question: </w:t>
      </w:r>
      <w:r w:rsidRPr="000B3307">
        <w:rPr>
          <w:rFonts w:ascii="Arial" w:hAnsi="Arial"/>
          <w:sz w:val="28"/>
          <w:szCs w:val="28"/>
        </w:rPr>
        <w:t>How long do I really need to monitor a patient for who has presented with anaphylaxis and has complete resolution of symptoms after administration of medications?</w:t>
      </w:r>
    </w:p>
    <w:p w14:paraId="33355229" w14:textId="77777777" w:rsidR="002A6204" w:rsidRPr="000B3307" w:rsidRDefault="002A6204" w:rsidP="000B3307">
      <w:pPr>
        <w:jc w:val="both"/>
        <w:rPr>
          <w:rFonts w:ascii="Arial" w:hAnsi="Arial"/>
          <w:b/>
          <w:sz w:val="28"/>
          <w:szCs w:val="28"/>
        </w:rPr>
      </w:pPr>
    </w:p>
    <w:p w14:paraId="1F9DC07E" w14:textId="77777777" w:rsidR="002A6204" w:rsidRPr="000B3307" w:rsidRDefault="002A6204" w:rsidP="000B3307">
      <w:pPr>
        <w:jc w:val="both"/>
        <w:rPr>
          <w:rFonts w:ascii="Arial" w:hAnsi="Arial"/>
          <w:b/>
          <w:sz w:val="28"/>
          <w:szCs w:val="28"/>
        </w:rPr>
      </w:pPr>
      <w:r w:rsidRPr="000B3307">
        <w:rPr>
          <w:rFonts w:ascii="Arial" w:hAnsi="Arial"/>
          <w:b/>
          <w:sz w:val="28"/>
          <w:szCs w:val="28"/>
        </w:rPr>
        <w:t>Article</w:t>
      </w:r>
    </w:p>
    <w:p w14:paraId="01EE7433" w14:textId="77777777" w:rsidR="00A40314" w:rsidRPr="000B3307" w:rsidRDefault="00A40314" w:rsidP="000B3307">
      <w:pPr>
        <w:jc w:val="both"/>
        <w:rPr>
          <w:rFonts w:ascii="Arial" w:hAnsi="Arial"/>
          <w:sz w:val="28"/>
          <w:szCs w:val="28"/>
        </w:rPr>
      </w:pPr>
      <w:proofErr w:type="spellStart"/>
      <w:r w:rsidRPr="000B3307">
        <w:rPr>
          <w:rFonts w:ascii="Arial" w:hAnsi="Arial"/>
          <w:sz w:val="28"/>
          <w:szCs w:val="28"/>
        </w:rPr>
        <w:t>Grunau</w:t>
      </w:r>
      <w:proofErr w:type="spellEnd"/>
      <w:r w:rsidRPr="000B3307">
        <w:rPr>
          <w:rFonts w:ascii="Arial" w:hAnsi="Arial"/>
          <w:sz w:val="28"/>
          <w:szCs w:val="28"/>
        </w:rPr>
        <w:t xml:space="preserve"> BE et al. Incidence of Clinically Important Biphasic Reactions in Emergency Department Patients with Allergic Reactions or Anaphylaxis. Ann of EM 2014 63(6): 736-44.</w:t>
      </w:r>
      <w:r w:rsidR="00EF500B" w:rsidRPr="000B3307">
        <w:rPr>
          <w:rFonts w:ascii="Arial" w:hAnsi="Arial"/>
          <w:sz w:val="28"/>
          <w:szCs w:val="28"/>
        </w:rPr>
        <w:t xml:space="preserve"> PubMed ID: </w:t>
      </w:r>
      <w:hyperlink r:id="rId6" w:history="1">
        <w:r w:rsidR="00EF500B" w:rsidRPr="000B3307">
          <w:rPr>
            <w:rStyle w:val="Hyperlink"/>
            <w:rFonts w:ascii="Arial" w:hAnsi="Arial"/>
            <w:sz w:val="28"/>
            <w:szCs w:val="28"/>
          </w:rPr>
          <w:t>24239340</w:t>
        </w:r>
      </w:hyperlink>
    </w:p>
    <w:p w14:paraId="33EC7483" w14:textId="77777777" w:rsidR="002A6204" w:rsidRPr="000B3307" w:rsidRDefault="002A6204" w:rsidP="000B3307">
      <w:pPr>
        <w:jc w:val="both"/>
        <w:rPr>
          <w:rFonts w:ascii="Arial" w:hAnsi="Arial"/>
          <w:b/>
          <w:sz w:val="28"/>
          <w:szCs w:val="28"/>
        </w:rPr>
      </w:pPr>
    </w:p>
    <w:p w14:paraId="113E90F9" w14:textId="77777777" w:rsidR="002A6204" w:rsidRPr="000B3307" w:rsidRDefault="002A6204" w:rsidP="000B3307">
      <w:pPr>
        <w:jc w:val="both"/>
        <w:rPr>
          <w:rFonts w:ascii="Arial" w:hAnsi="Arial"/>
          <w:sz w:val="28"/>
          <w:szCs w:val="28"/>
        </w:rPr>
      </w:pPr>
      <w:r w:rsidRPr="000B3307">
        <w:rPr>
          <w:rFonts w:ascii="Arial" w:hAnsi="Arial"/>
          <w:b/>
          <w:sz w:val="28"/>
          <w:szCs w:val="28"/>
        </w:rPr>
        <w:t>Background</w:t>
      </w:r>
      <w:r w:rsidRPr="000B3307">
        <w:rPr>
          <w:rFonts w:ascii="Arial" w:hAnsi="Arial"/>
          <w:sz w:val="28"/>
          <w:szCs w:val="28"/>
        </w:rPr>
        <w:t>: Standard teaching in Emergency Medicine holds that patients who present with allergic reactions, especially anaphylactic ones, should be monitored for 6-8 hours after symptoms resolve in order to ensure that the patient does not have a biphasic anaphylactic response. However, this recommendation is based on minimal, if any, evidence.</w:t>
      </w:r>
    </w:p>
    <w:p w14:paraId="284C6099" w14:textId="77777777" w:rsidR="002A6204" w:rsidRPr="000B3307" w:rsidRDefault="002A6204" w:rsidP="000B3307">
      <w:pPr>
        <w:jc w:val="both"/>
        <w:rPr>
          <w:rFonts w:ascii="Arial" w:hAnsi="Arial"/>
          <w:sz w:val="28"/>
          <w:szCs w:val="28"/>
        </w:rPr>
      </w:pPr>
    </w:p>
    <w:p w14:paraId="152293A5" w14:textId="77777777" w:rsidR="002A6204" w:rsidRPr="000B3307" w:rsidRDefault="000B3307" w:rsidP="000B3307">
      <w:pPr>
        <w:jc w:val="both"/>
        <w:rPr>
          <w:rFonts w:ascii="Arial" w:hAnsi="Arial"/>
          <w:b/>
          <w:sz w:val="28"/>
          <w:szCs w:val="28"/>
        </w:rPr>
      </w:pPr>
      <w:r w:rsidRPr="000B3307">
        <w:rPr>
          <w:rFonts w:ascii="Arial" w:hAnsi="Arial"/>
          <w:b/>
          <w:sz w:val="28"/>
          <w:szCs w:val="28"/>
        </w:rPr>
        <w:t>Details</w:t>
      </w:r>
    </w:p>
    <w:p w14:paraId="6A86CE0C" w14:textId="77777777" w:rsidR="002A6204" w:rsidRPr="000B3307" w:rsidRDefault="002A6204" w:rsidP="000B3307">
      <w:pPr>
        <w:pStyle w:val="ListParagraph"/>
        <w:numPr>
          <w:ilvl w:val="0"/>
          <w:numId w:val="2"/>
        </w:numPr>
        <w:jc w:val="both"/>
        <w:rPr>
          <w:rFonts w:ascii="Arial" w:hAnsi="Arial"/>
          <w:sz w:val="28"/>
          <w:szCs w:val="28"/>
        </w:rPr>
      </w:pPr>
      <w:r w:rsidRPr="000B3307">
        <w:rPr>
          <w:rFonts w:ascii="Arial" w:hAnsi="Arial"/>
          <w:sz w:val="28"/>
          <w:szCs w:val="28"/>
        </w:rPr>
        <w:t>Retrospective review of 430,000 patients over 5 years</w:t>
      </w:r>
    </w:p>
    <w:p w14:paraId="509B8989" w14:textId="77777777" w:rsidR="002A6204" w:rsidRPr="000B3307" w:rsidRDefault="002A6204" w:rsidP="000B3307">
      <w:pPr>
        <w:pStyle w:val="ListParagraph"/>
        <w:numPr>
          <w:ilvl w:val="0"/>
          <w:numId w:val="2"/>
        </w:numPr>
        <w:jc w:val="both"/>
        <w:rPr>
          <w:rFonts w:ascii="Arial" w:hAnsi="Arial"/>
          <w:sz w:val="28"/>
          <w:szCs w:val="28"/>
        </w:rPr>
      </w:pPr>
      <w:r w:rsidRPr="000B3307">
        <w:rPr>
          <w:rFonts w:ascii="Arial" w:hAnsi="Arial"/>
          <w:sz w:val="28"/>
          <w:szCs w:val="28"/>
        </w:rPr>
        <w:t>Found 2800 with allergic reactions (496 with anaphylaxis)</w:t>
      </w:r>
    </w:p>
    <w:p w14:paraId="79F82B2D" w14:textId="77777777" w:rsidR="002A6204" w:rsidRPr="000B3307" w:rsidRDefault="002A6204" w:rsidP="000B3307">
      <w:pPr>
        <w:pStyle w:val="ListParagraph"/>
        <w:numPr>
          <w:ilvl w:val="0"/>
          <w:numId w:val="2"/>
        </w:numPr>
        <w:jc w:val="both"/>
        <w:rPr>
          <w:rFonts w:ascii="Arial" w:hAnsi="Arial"/>
          <w:sz w:val="28"/>
          <w:szCs w:val="28"/>
        </w:rPr>
      </w:pPr>
      <w:r w:rsidRPr="000B3307">
        <w:rPr>
          <w:rFonts w:ascii="Arial" w:hAnsi="Arial"/>
          <w:sz w:val="28"/>
          <w:szCs w:val="28"/>
        </w:rPr>
        <w:t>5 patients (0.18%) had significant biphasic reactions</w:t>
      </w:r>
    </w:p>
    <w:p w14:paraId="409D5875" w14:textId="77777777" w:rsidR="002A6204" w:rsidRPr="000B3307" w:rsidRDefault="002A6204" w:rsidP="000B3307">
      <w:pPr>
        <w:pStyle w:val="ListParagraph"/>
        <w:numPr>
          <w:ilvl w:val="0"/>
          <w:numId w:val="2"/>
        </w:numPr>
        <w:jc w:val="both"/>
        <w:rPr>
          <w:rFonts w:ascii="Arial" w:hAnsi="Arial"/>
          <w:sz w:val="28"/>
          <w:szCs w:val="28"/>
        </w:rPr>
      </w:pPr>
      <w:r w:rsidRPr="000B3307">
        <w:rPr>
          <w:rFonts w:ascii="Arial" w:hAnsi="Arial"/>
          <w:sz w:val="28"/>
          <w:szCs w:val="28"/>
        </w:rPr>
        <w:t>2 patients had biphasic reactions during initial hospital visit</w:t>
      </w:r>
    </w:p>
    <w:p w14:paraId="6F5744C3" w14:textId="77777777" w:rsidR="002A6204" w:rsidRPr="000B3307" w:rsidRDefault="002A6204" w:rsidP="000B3307">
      <w:pPr>
        <w:pStyle w:val="ListParagraph"/>
        <w:numPr>
          <w:ilvl w:val="0"/>
          <w:numId w:val="2"/>
        </w:numPr>
        <w:jc w:val="both"/>
        <w:rPr>
          <w:rFonts w:ascii="Arial" w:hAnsi="Arial"/>
          <w:sz w:val="28"/>
          <w:szCs w:val="28"/>
        </w:rPr>
      </w:pPr>
      <w:r w:rsidRPr="000B3307">
        <w:rPr>
          <w:rFonts w:ascii="Arial" w:hAnsi="Arial"/>
          <w:sz w:val="28"/>
          <w:szCs w:val="28"/>
        </w:rPr>
        <w:t>3 patients had significant biphasic anaphylaxis after discharge (28, 35 and 143 hours after initial presentation)</w:t>
      </w:r>
    </w:p>
    <w:p w14:paraId="01F5D8E4" w14:textId="77777777" w:rsidR="002A6204" w:rsidRPr="000B3307" w:rsidRDefault="002A6204" w:rsidP="000B3307">
      <w:pPr>
        <w:pStyle w:val="ListParagraph"/>
        <w:numPr>
          <w:ilvl w:val="0"/>
          <w:numId w:val="2"/>
        </w:numPr>
        <w:jc w:val="both"/>
        <w:rPr>
          <w:rFonts w:ascii="Arial" w:hAnsi="Arial"/>
          <w:sz w:val="28"/>
          <w:szCs w:val="28"/>
        </w:rPr>
      </w:pPr>
      <w:r w:rsidRPr="000B3307">
        <w:rPr>
          <w:rFonts w:ascii="Arial" w:hAnsi="Arial"/>
          <w:sz w:val="28"/>
          <w:szCs w:val="28"/>
        </w:rPr>
        <w:t>0 patients died from biphasic anaphylaxis</w:t>
      </w:r>
    </w:p>
    <w:p w14:paraId="4F8E539B" w14:textId="77777777" w:rsidR="002A6204" w:rsidRPr="000B3307" w:rsidRDefault="002A6204" w:rsidP="000B3307">
      <w:pPr>
        <w:jc w:val="both"/>
        <w:rPr>
          <w:rFonts w:ascii="Arial" w:hAnsi="Arial"/>
          <w:b/>
          <w:sz w:val="28"/>
          <w:szCs w:val="28"/>
        </w:rPr>
      </w:pPr>
    </w:p>
    <w:p w14:paraId="222A44AB" w14:textId="77777777" w:rsidR="002A6204" w:rsidRPr="000B3307" w:rsidRDefault="002A6204" w:rsidP="000B3307">
      <w:pPr>
        <w:jc w:val="both"/>
        <w:rPr>
          <w:rFonts w:ascii="Arial" w:hAnsi="Arial"/>
          <w:sz w:val="28"/>
          <w:szCs w:val="28"/>
        </w:rPr>
      </w:pPr>
      <w:r w:rsidRPr="000B3307">
        <w:rPr>
          <w:rFonts w:ascii="Arial" w:hAnsi="Arial"/>
          <w:b/>
          <w:sz w:val="28"/>
          <w:szCs w:val="28"/>
        </w:rPr>
        <w:t>Weaknesses</w:t>
      </w:r>
    </w:p>
    <w:p w14:paraId="4A99190E" w14:textId="77777777" w:rsidR="002A6204" w:rsidRPr="000B3307" w:rsidRDefault="002A6204" w:rsidP="000B3307">
      <w:pPr>
        <w:pStyle w:val="ListParagraph"/>
        <w:numPr>
          <w:ilvl w:val="0"/>
          <w:numId w:val="3"/>
        </w:numPr>
        <w:jc w:val="both"/>
        <w:rPr>
          <w:rFonts w:ascii="Arial" w:hAnsi="Arial"/>
          <w:sz w:val="28"/>
          <w:szCs w:val="28"/>
        </w:rPr>
      </w:pPr>
      <w:r w:rsidRPr="000B3307">
        <w:rPr>
          <w:rFonts w:ascii="Arial" w:hAnsi="Arial"/>
          <w:sz w:val="28"/>
          <w:szCs w:val="28"/>
        </w:rPr>
        <w:t>Retrospective – outcomes known to researchers</w:t>
      </w:r>
    </w:p>
    <w:p w14:paraId="6E630C1E" w14:textId="77777777" w:rsidR="002A6204" w:rsidRPr="000B3307" w:rsidRDefault="002A6204" w:rsidP="000B3307">
      <w:pPr>
        <w:pStyle w:val="ListParagraph"/>
        <w:numPr>
          <w:ilvl w:val="0"/>
          <w:numId w:val="3"/>
        </w:numPr>
        <w:jc w:val="both"/>
        <w:rPr>
          <w:rFonts w:ascii="Arial" w:hAnsi="Arial"/>
          <w:sz w:val="28"/>
          <w:szCs w:val="28"/>
        </w:rPr>
      </w:pPr>
      <w:r w:rsidRPr="000B3307">
        <w:rPr>
          <w:rFonts w:ascii="Arial" w:hAnsi="Arial"/>
          <w:sz w:val="28"/>
          <w:szCs w:val="28"/>
        </w:rPr>
        <w:t>Follow up – possible that patients represented elsewhere but unlikely given the healthcare system this study was performed in</w:t>
      </w:r>
    </w:p>
    <w:p w14:paraId="68D4D986" w14:textId="77777777" w:rsidR="002A6204" w:rsidRPr="000B3307" w:rsidRDefault="002A6204" w:rsidP="000B3307">
      <w:pPr>
        <w:jc w:val="both"/>
        <w:rPr>
          <w:rFonts w:ascii="Arial" w:hAnsi="Arial"/>
          <w:b/>
          <w:sz w:val="28"/>
          <w:szCs w:val="28"/>
        </w:rPr>
      </w:pPr>
    </w:p>
    <w:p w14:paraId="48A9E8FC" w14:textId="77777777" w:rsidR="002A6204" w:rsidRPr="000B3307" w:rsidRDefault="002A6204" w:rsidP="000B3307">
      <w:pPr>
        <w:jc w:val="both"/>
        <w:rPr>
          <w:rFonts w:ascii="Arial" w:hAnsi="Arial"/>
          <w:sz w:val="28"/>
          <w:szCs w:val="28"/>
        </w:rPr>
      </w:pPr>
      <w:r w:rsidRPr="000B3307">
        <w:rPr>
          <w:rFonts w:ascii="Arial" w:hAnsi="Arial"/>
          <w:b/>
          <w:sz w:val="28"/>
          <w:szCs w:val="28"/>
        </w:rPr>
        <w:t xml:space="preserve">For More Information, see also: </w:t>
      </w:r>
      <w:hyperlink r:id="rId7" w:history="1">
        <w:r w:rsidRPr="000B3307">
          <w:rPr>
            <w:rStyle w:val="Hyperlink"/>
            <w:rFonts w:ascii="Arial" w:hAnsi="Arial"/>
            <w:sz w:val="28"/>
            <w:szCs w:val="28"/>
          </w:rPr>
          <w:t>The SGEM #57</w:t>
        </w:r>
      </w:hyperlink>
      <w:r w:rsidRPr="000B3307">
        <w:rPr>
          <w:rFonts w:ascii="Arial" w:hAnsi="Arial"/>
          <w:sz w:val="28"/>
          <w:szCs w:val="28"/>
        </w:rPr>
        <w:t xml:space="preserve">: Should I Stay or Should I Go (Biphasic Anaphylactic Response) </w:t>
      </w:r>
    </w:p>
    <w:p w14:paraId="395BD653" w14:textId="77777777" w:rsidR="00963354" w:rsidRPr="000B3307" w:rsidRDefault="00963354" w:rsidP="000B3307">
      <w:pPr>
        <w:jc w:val="both"/>
        <w:rPr>
          <w:rFonts w:ascii="Arial" w:hAnsi="Arial"/>
          <w:sz w:val="28"/>
          <w:szCs w:val="28"/>
        </w:rPr>
      </w:pPr>
    </w:p>
    <w:p w14:paraId="133A12A2" w14:textId="77777777" w:rsidR="002A6204" w:rsidRPr="000B3307" w:rsidRDefault="002A6204" w:rsidP="000B3307">
      <w:pPr>
        <w:jc w:val="both"/>
        <w:rPr>
          <w:rFonts w:ascii="Arial" w:hAnsi="Arial"/>
          <w:b/>
          <w:sz w:val="28"/>
          <w:szCs w:val="28"/>
        </w:rPr>
      </w:pPr>
      <w:r w:rsidRPr="000B3307">
        <w:rPr>
          <w:rFonts w:ascii="Arial" w:hAnsi="Arial"/>
          <w:b/>
          <w:sz w:val="28"/>
          <w:szCs w:val="28"/>
        </w:rPr>
        <w:t>Bonus Article</w:t>
      </w:r>
    </w:p>
    <w:p w14:paraId="35E99A95" w14:textId="77777777" w:rsidR="002A6204" w:rsidRPr="000B3307" w:rsidRDefault="00A40314" w:rsidP="000B3307">
      <w:pPr>
        <w:jc w:val="both"/>
        <w:rPr>
          <w:rFonts w:ascii="Arial" w:hAnsi="Arial"/>
          <w:sz w:val="28"/>
          <w:szCs w:val="28"/>
        </w:rPr>
      </w:pPr>
      <w:proofErr w:type="spellStart"/>
      <w:r w:rsidRPr="000B3307">
        <w:rPr>
          <w:rFonts w:ascii="Arial" w:hAnsi="Arial"/>
          <w:sz w:val="28"/>
          <w:szCs w:val="28"/>
        </w:rPr>
        <w:t>Rohacek</w:t>
      </w:r>
      <w:proofErr w:type="spellEnd"/>
      <w:r w:rsidRPr="000B3307">
        <w:rPr>
          <w:rFonts w:ascii="Arial" w:hAnsi="Arial"/>
          <w:sz w:val="28"/>
          <w:szCs w:val="28"/>
        </w:rPr>
        <w:t xml:space="preserve"> M, </w:t>
      </w:r>
      <w:proofErr w:type="spellStart"/>
      <w:r w:rsidRPr="000B3307">
        <w:rPr>
          <w:rFonts w:ascii="Arial" w:hAnsi="Arial"/>
          <w:sz w:val="28"/>
          <w:szCs w:val="28"/>
        </w:rPr>
        <w:t>Edenhofer</w:t>
      </w:r>
      <w:proofErr w:type="spellEnd"/>
      <w:r w:rsidRPr="000B3307">
        <w:rPr>
          <w:rFonts w:ascii="Arial" w:hAnsi="Arial"/>
          <w:sz w:val="28"/>
          <w:szCs w:val="28"/>
        </w:rPr>
        <w:t xml:space="preserve"> H, Bircher A. Biphasic anaphylactic reactions: </w:t>
      </w:r>
      <w:proofErr w:type="spellStart"/>
      <w:r w:rsidRPr="000B3307">
        <w:rPr>
          <w:rFonts w:ascii="Arial" w:hAnsi="Arial"/>
          <w:sz w:val="28"/>
          <w:szCs w:val="28"/>
        </w:rPr>
        <w:t>occurance</w:t>
      </w:r>
      <w:proofErr w:type="spellEnd"/>
      <w:r w:rsidRPr="000B3307">
        <w:rPr>
          <w:rFonts w:ascii="Arial" w:hAnsi="Arial"/>
          <w:sz w:val="28"/>
          <w:szCs w:val="28"/>
        </w:rPr>
        <w:t xml:space="preserve"> and mortality. </w:t>
      </w:r>
      <w:proofErr w:type="spellStart"/>
      <w:r w:rsidRPr="000B3307">
        <w:rPr>
          <w:rFonts w:ascii="Arial" w:hAnsi="Arial"/>
          <w:sz w:val="28"/>
          <w:szCs w:val="28"/>
        </w:rPr>
        <w:t>Eur</w:t>
      </w:r>
      <w:proofErr w:type="spellEnd"/>
      <w:r w:rsidRPr="000B3307">
        <w:rPr>
          <w:rFonts w:ascii="Arial" w:hAnsi="Arial"/>
          <w:sz w:val="28"/>
          <w:szCs w:val="28"/>
        </w:rPr>
        <w:t xml:space="preserve"> J All </w:t>
      </w:r>
      <w:proofErr w:type="spellStart"/>
      <w:r w:rsidRPr="000B3307">
        <w:rPr>
          <w:rFonts w:ascii="Arial" w:hAnsi="Arial"/>
          <w:sz w:val="28"/>
          <w:szCs w:val="28"/>
        </w:rPr>
        <w:t>Clin</w:t>
      </w:r>
      <w:proofErr w:type="spellEnd"/>
      <w:r w:rsidRPr="000B3307">
        <w:rPr>
          <w:rFonts w:ascii="Arial" w:hAnsi="Arial"/>
          <w:sz w:val="28"/>
          <w:szCs w:val="28"/>
        </w:rPr>
        <w:t xml:space="preserve"> </w:t>
      </w:r>
      <w:proofErr w:type="spellStart"/>
      <w:r w:rsidRPr="000B3307">
        <w:rPr>
          <w:rFonts w:ascii="Arial" w:hAnsi="Arial"/>
          <w:sz w:val="28"/>
          <w:szCs w:val="28"/>
        </w:rPr>
        <w:t>Imm</w:t>
      </w:r>
      <w:proofErr w:type="spellEnd"/>
      <w:r w:rsidRPr="000B3307">
        <w:rPr>
          <w:rFonts w:ascii="Arial" w:hAnsi="Arial"/>
          <w:sz w:val="28"/>
          <w:szCs w:val="28"/>
        </w:rPr>
        <w:t xml:space="preserve"> 2014; 69(6): 791-7.</w:t>
      </w:r>
      <w:r w:rsidR="00EF500B" w:rsidRPr="000B3307">
        <w:rPr>
          <w:rFonts w:ascii="Arial" w:hAnsi="Arial"/>
          <w:sz w:val="28"/>
          <w:szCs w:val="28"/>
        </w:rPr>
        <w:t xml:space="preserve"> PubMed ID: </w:t>
      </w:r>
      <w:hyperlink r:id="rId8" w:history="1">
        <w:r w:rsidR="00EF500B" w:rsidRPr="000B3307">
          <w:rPr>
            <w:rStyle w:val="Hyperlink"/>
            <w:rFonts w:ascii="Arial" w:hAnsi="Arial"/>
            <w:sz w:val="28"/>
            <w:szCs w:val="28"/>
          </w:rPr>
          <w:t>24725226</w:t>
        </w:r>
      </w:hyperlink>
    </w:p>
    <w:p w14:paraId="5DDC15C7" w14:textId="77777777" w:rsidR="002A6204" w:rsidRPr="000B3307" w:rsidRDefault="002A6204" w:rsidP="000B3307">
      <w:pPr>
        <w:jc w:val="both"/>
        <w:rPr>
          <w:rFonts w:ascii="Arial" w:hAnsi="Arial"/>
          <w:sz w:val="28"/>
          <w:szCs w:val="28"/>
        </w:rPr>
      </w:pPr>
      <w:r w:rsidRPr="000B3307">
        <w:rPr>
          <w:rFonts w:ascii="Arial" w:hAnsi="Arial"/>
          <w:sz w:val="28"/>
          <w:szCs w:val="28"/>
        </w:rPr>
        <w:t>Details</w:t>
      </w:r>
    </w:p>
    <w:p w14:paraId="5F3C505A" w14:textId="77777777" w:rsidR="002A6204" w:rsidRPr="000B3307" w:rsidRDefault="002A6204" w:rsidP="000B3307">
      <w:pPr>
        <w:pStyle w:val="ListParagraph"/>
        <w:numPr>
          <w:ilvl w:val="0"/>
          <w:numId w:val="4"/>
        </w:numPr>
        <w:jc w:val="both"/>
        <w:rPr>
          <w:rFonts w:ascii="Arial" w:hAnsi="Arial"/>
          <w:sz w:val="28"/>
          <w:szCs w:val="28"/>
        </w:rPr>
      </w:pPr>
      <w:r w:rsidRPr="000B3307">
        <w:rPr>
          <w:rFonts w:ascii="Arial" w:hAnsi="Arial"/>
          <w:sz w:val="28"/>
          <w:szCs w:val="28"/>
        </w:rPr>
        <w:t>Retrospective review of 300,000 patients</w:t>
      </w:r>
    </w:p>
    <w:p w14:paraId="27E37D77" w14:textId="77777777" w:rsidR="002A6204" w:rsidRPr="000B3307" w:rsidRDefault="002A6204" w:rsidP="000B3307">
      <w:pPr>
        <w:pStyle w:val="ListParagraph"/>
        <w:numPr>
          <w:ilvl w:val="0"/>
          <w:numId w:val="4"/>
        </w:numPr>
        <w:jc w:val="both"/>
        <w:rPr>
          <w:rFonts w:ascii="Arial" w:hAnsi="Arial"/>
          <w:sz w:val="28"/>
          <w:szCs w:val="28"/>
        </w:rPr>
      </w:pPr>
      <w:r w:rsidRPr="000B3307">
        <w:rPr>
          <w:rFonts w:ascii="Arial" w:hAnsi="Arial"/>
          <w:sz w:val="28"/>
          <w:szCs w:val="28"/>
        </w:rPr>
        <w:t>Found 1300 with allergic reactions (495 with anaphylaxis)</w:t>
      </w:r>
    </w:p>
    <w:p w14:paraId="5D50FFDE" w14:textId="77777777" w:rsidR="002A6204" w:rsidRPr="000B3307" w:rsidRDefault="002A6204" w:rsidP="000B3307">
      <w:pPr>
        <w:pStyle w:val="ListParagraph"/>
        <w:numPr>
          <w:ilvl w:val="0"/>
          <w:numId w:val="4"/>
        </w:numPr>
        <w:jc w:val="both"/>
        <w:rPr>
          <w:rFonts w:ascii="Arial" w:hAnsi="Arial"/>
          <w:sz w:val="28"/>
          <w:szCs w:val="28"/>
        </w:rPr>
      </w:pPr>
      <w:r w:rsidRPr="000B3307">
        <w:rPr>
          <w:rFonts w:ascii="Arial" w:hAnsi="Arial"/>
          <w:sz w:val="28"/>
          <w:szCs w:val="28"/>
        </w:rPr>
        <w:t>25 patients (4.5%) had biphasic reactions</w:t>
      </w:r>
    </w:p>
    <w:p w14:paraId="0774C5FD" w14:textId="77777777" w:rsidR="002A6204" w:rsidRPr="000B3307" w:rsidRDefault="002A6204" w:rsidP="000B3307">
      <w:pPr>
        <w:pStyle w:val="ListParagraph"/>
        <w:numPr>
          <w:ilvl w:val="0"/>
          <w:numId w:val="4"/>
        </w:numPr>
        <w:jc w:val="both"/>
        <w:rPr>
          <w:rFonts w:ascii="Arial" w:hAnsi="Arial"/>
          <w:sz w:val="28"/>
          <w:szCs w:val="28"/>
        </w:rPr>
      </w:pPr>
      <w:r w:rsidRPr="000B3307">
        <w:rPr>
          <w:rFonts w:ascii="Arial" w:hAnsi="Arial"/>
          <w:sz w:val="28"/>
          <w:szCs w:val="28"/>
        </w:rPr>
        <w:t>12 patients (2.3%) required treatment for their biphasic reaction</w:t>
      </w:r>
    </w:p>
    <w:p w14:paraId="25DC2253" w14:textId="77777777" w:rsidR="00F3512B" w:rsidRPr="000B3307" w:rsidRDefault="002A6204" w:rsidP="000B3307">
      <w:pPr>
        <w:pStyle w:val="ListParagraph"/>
        <w:numPr>
          <w:ilvl w:val="0"/>
          <w:numId w:val="4"/>
        </w:numPr>
        <w:jc w:val="both"/>
        <w:rPr>
          <w:rFonts w:ascii="Arial" w:hAnsi="Arial"/>
          <w:sz w:val="28"/>
          <w:szCs w:val="28"/>
        </w:rPr>
      </w:pPr>
      <w:r w:rsidRPr="000B3307">
        <w:rPr>
          <w:rFonts w:ascii="Arial" w:hAnsi="Arial"/>
          <w:sz w:val="28"/>
          <w:szCs w:val="28"/>
        </w:rPr>
        <w:t>0 patients died from biphasic anaphylaxis</w:t>
      </w:r>
    </w:p>
    <w:p w14:paraId="091D9276" w14:textId="77777777" w:rsidR="002A6204" w:rsidRPr="000B3307" w:rsidRDefault="002A6204" w:rsidP="000B3307">
      <w:pPr>
        <w:jc w:val="both"/>
        <w:rPr>
          <w:rFonts w:ascii="Arial" w:hAnsi="Arial"/>
          <w:b/>
          <w:sz w:val="28"/>
          <w:szCs w:val="28"/>
        </w:rPr>
      </w:pPr>
    </w:p>
    <w:p w14:paraId="4E887735" w14:textId="77777777" w:rsidR="002A6204" w:rsidRPr="000B3307" w:rsidRDefault="002A6204" w:rsidP="000B3307">
      <w:pPr>
        <w:jc w:val="both"/>
        <w:rPr>
          <w:rFonts w:ascii="Arial" w:hAnsi="Arial"/>
          <w:b/>
          <w:sz w:val="28"/>
          <w:szCs w:val="28"/>
        </w:rPr>
      </w:pPr>
      <w:r w:rsidRPr="000B3307">
        <w:rPr>
          <w:rFonts w:ascii="Arial" w:hAnsi="Arial"/>
          <w:b/>
          <w:sz w:val="28"/>
          <w:szCs w:val="28"/>
        </w:rPr>
        <w:t>Weaknesses</w:t>
      </w:r>
    </w:p>
    <w:p w14:paraId="64520AE3" w14:textId="77777777" w:rsidR="002A6204" w:rsidRPr="000B3307" w:rsidRDefault="002A6204" w:rsidP="000B3307">
      <w:pPr>
        <w:pStyle w:val="ListParagraph"/>
        <w:numPr>
          <w:ilvl w:val="0"/>
          <w:numId w:val="5"/>
        </w:numPr>
        <w:jc w:val="both"/>
        <w:rPr>
          <w:rFonts w:ascii="Arial" w:hAnsi="Arial"/>
          <w:sz w:val="28"/>
          <w:szCs w:val="28"/>
        </w:rPr>
      </w:pPr>
      <w:r w:rsidRPr="000B3307">
        <w:rPr>
          <w:rFonts w:ascii="Arial" w:hAnsi="Arial"/>
          <w:sz w:val="28"/>
          <w:szCs w:val="28"/>
        </w:rPr>
        <w:t>Retrospective – outcomes known to researchers</w:t>
      </w:r>
    </w:p>
    <w:p w14:paraId="3A78901D" w14:textId="77777777" w:rsidR="002E7CC3" w:rsidRPr="000B3307" w:rsidRDefault="002A6204" w:rsidP="000B3307">
      <w:pPr>
        <w:pStyle w:val="ListParagraph"/>
        <w:numPr>
          <w:ilvl w:val="0"/>
          <w:numId w:val="5"/>
        </w:numPr>
        <w:jc w:val="both"/>
        <w:rPr>
          <w:rFonts w:ascii="Arial" w:hAnsi="Arial"/>
          <w:sz w:val="28"/>
          <w:szCs w:val="28"/>
        </w:rPr>
      </w:pPr>
      <w:r w:rsidRPr="000B3307">
        <w:rPr>
          <w:rFonts w:ascii="Arial" w:hAnsi="Arial"/>
          <w:sz w:val="28"/>
          <w:szCs w:val="28"/>
        </w:rPr>
        <w:t>Follow up – possible that patients represented elsewhere but unlikely given the healthcare system this study was performed in</w:t>
      </w:r>
    </w:p>
    <w:p w14:paraId="3E3D86B8" w14:textId="77777777" w:rsidR="002A6204" w:rsidRPr="000B3307" w:rsidRDefault="002A6204" w:rsidP="000B3307">
      <w:pPr>
        <w:jc w:val="both"/>
        <w:rPr>
          <w:rFonts w:ascii="Arial" w:hAnsi="Arial"/>
          <w:b/>
          <w:sz w:val="28"/>
          <w:szCs w:val="28"/>
        </w:rPr>
      </w:pPr>
    </w:p>
    <w:p w14:paraId="5966270B" w14:textId="77777777" w:rsidR="002A6204" w:rsidRPr="000B3307" w:rsidRDefault="002A6204" w:rsidP="000B3307">
      <w:pPr>
        <w:jc w:val="both"/>
        <w:rPr>
          <w:rFonts w:ascii="Arial" w:hAnsi="Arial"/>
          <w:sz w:val="28"/>
          <w:szCs w:val="28"/>
        </w:rPr>
      </w:pPr>
      <w:r w:rsidRPr="000B3307">
        <w:rPr>
          <w:rFonts w:ascii="Arial" w:hAnsi="Arial"/>
          <w:sz w:val="28"/>
          <w:szCs w:val="28"/>
        </w:rPr>
        <w:t xml:space="preserve">Additionally, these researchers differentiate between long (&gt; 8 hours) and short (&lt; 8 hours) observation lengths and found </w:t>
      </w:r>
      <w:r w:rsidR="00E942D9" w:rsidRPr="000B3307">
        <w:rPr>
          <w:rFonts w:ascii="Arial" w:hAnsi="Arial"/>
          <w:sz w:val="28"/>
          <w:szCs w:val="28"/>
        </w:rPr>
        <w:t>no difference in the occurrence of biphasic responses.</w:t>
      </w:r>
    </w:p>
    <w:p w14:paraId="3EF4C7E8" w14:textId="77777777" w:rsidR="00E942D9" w:rsidRPr="000B3307" w:rsidRDefault="00E942D9" w:rsidP="000B3307">
      <w:pPr>
        <w:jc w:val="both"/>
        <w:rPr>
          <w:rFonts w:ascii="Arial" w:hAnsi="Arial"/>
          <w:b/>
          <w:sz w:val="28"/>
          <w:szCs w:val="28"/>
        </w:rPr>
      </w:pPr>
    </w:p>
    <w:p w14:paraId="4FA5F33C" w14:textId="77777777" w:rsidR="00A40314" w:rsidRPr="000B3307" w:rsidRDefault="00E942D9" w:rsidP="000B3307">
      <w:pPr>
        <w:jc w:val="both"/>
        <w:rPr>
          <w:rFonts w:ascii="Arial" w:hAnsi="Arial"/>
          <w:b/>
          <w:sz w:val="28"/>
          <w:szCs w:val="28"/>
        </w:rPr>
      </w:pPr>
      <w:r w:rsidRPr="000B3307">
        <w:rPr>
          <w:rFonts w:ascii="Arial" w:hAnsi="Arial"/>
          <w:b/>
          <w:sz w:val="28"/>
          <w:szCs w:val="28"/>
        </w:rPr>
        <w:t xml:space="preserve">Clinical Bottom Line:  </w:t>
      </w:r>
      <w:r w:rsidR="00F3512B" w:rsidRPr="000B3307">
        <w:rPr>
          <w:rFonts w:ascii="Arial" w:hAnsi="Arial"/>
          <w:b/>
          <w:sz w:val="28"/>
          <w:szCs w:val="28"/>
        </w:rPr>
        <w:t>Prolonged observation is likely unnecessary in patients who’s symptoms resolve with therapy in the ED. Biphasic reactions are rare and can occur anywhere from 10 minutes up to 6 days.</w:t>
      </w:r>
    </w:p>
    <w:p w14:paraId="2C712A7A" w14:textId="77777777" w:rsidR="006F39A4" w:rsidRPr="000B3307" w:rsidRDefault="006F39A4" w:rsidP="000B3307">
      <w:pPr>
        <w:jc w:val="both"/>
        <w:rPr>
          <w:rFonts w:ascii="Arial" w:hAnsi="Arial"/>
          <w:b/>
          <w:sz w:val="28"/>
          <w:szCs w:val="28"/>
        </w:rPr>
      </w:pPr>
    </w:p>
    <w:p w14:paraId="0C775075" w14:textId="77777777" w:rsidR="006F39A4" w:rsidRPr="000B3307" w:rsidRDefault="006F39A4" w:rsidP="000B3307">
      <w:pPr>
        <w:jc w:val="both"/>
        <w:rPr>
          <w:rFonts w:ascii="Arial" w:hAnsi="Arial"/>
          <w:sz w:val="28"/>
          <w:szCs w:val="28"/>
        </w:rPr>
      </w:pPr>
      <w:r w:rsidRPr="000B3307">
        <w:rPr>
          <w:rFonts w:ascii="Arial" w:hAnsi="Arial"/>
          <w:b/>
          <w:sz w:val="28"/>
          <w:szCs w:val="28"/>
        </w:rPr>
        <w:t xml:space="preserve">For More Information: </w:t>
      </w:r>
      <w:hyperlink r:id="rId9" w:history="1">
        <w:r w:rsidRPr="000B3307">
          <w:rPr>
            <w:rStyle w:val="Hyperlink"/>
            <w:rFonts w:ascii="Arial" w:hAnsi="Arial"/>
            <w:sz w:val="28"/>
            <w:szCs w:val="28"/>
          </w:rPr>
          <w:t>SGEM #57</w:t>
        </w:r>
      </w:hyperlink>
      <w:r w:rsidRPr="000B3307">
        <w:rPr>
          <w:rFonts w:ascii="Arial" w:hAnsi="Arial"/>
          <w:sz w:val="28"/>
          <w:szCs w:val="28"/>
        </w:rPr>
        <w:t xml:space="preserve">: Should I Stay or Should I Go (Biphasic Anaphylactic Response). </w:t>
      </w:r>
    </w:p>
    <w:p w14:paraId="58564C94" w14:textId="77777777" w:rsidR="00A40314" w:rsidRPr="000B3307" w:rsidRDefault="00A40314" w:rsidP="000B3307">
      <w:pPr>
        <w:jc w:val="both"/>
        <w:rPr>
          <w:rFonts w:ascii="Arial" w:hAnsi="Arial"/>
          <w:b/>
          <w:sz w:val="28"/>
          <w:szCs w:val="28"/>
        </w:rPr>
      </w:pPr>
    </w:p>
    <w:p w14:paraId="01C4ACD3" w14:textId="77777777" w:rsidR="00A40314" w:rsidRPr="000B3307" w:rsidRDefault="00A40314" w:rsidP="000B3307">
      <w:pPr>
        <w:jc w:val="both"/>
        <w:rPr>
          <w:rFonts w:ascii="Arial" w:hAnsi="Arial"/>
          <w:b/>
          <w:sz w:val="28"/>
          <w:szCs w:val="28"/>
        </w:rPr>
      </w:pPr>
      <w:r w:rsidRPr="000B3307">
        <w:rPr>
          <w:rFonts w:ascii="Arial" w:hAnsi="Arial"/>
          <w:b/>
          <w:sz w:val="28"/>
          <w:szCs w:val="28"/>
        </w:rPr>
        <w:t>References</w:t>
      </w:r>
    </w:p>
    <w:p w14:paraId="7126D312" w14:textId="77777777" w:rsidR="00A40314" w:rsidRPr="000B3307" w:rsidRDefault="00A40314" w:rsidP="000B3307">
      <w:pPr>
        <w:pStyle w:val="ListParagraph"/>
        <w:numPr>
          <w:ilvl w:val="0"/>
          <w:numId w:val="11"/>
        </w:numPr>
        <w:jc w:val="both"/>
        <w:rPr>
          <w:rFonts w:ascii="Arial" w:hAnsi="Arial"/>
          <w:sz w:val="28"/>
          <w:szCs w:val="28"/>
        </w:rPr>
      </w:pPr>
      <w:proofErr w:type="spellStart"/>
      <w:r w:rsidRPr="000B3307">
        <w:rPr>
          <w:rFonts w:ascii="Arial" w:hAnsi="Arial"/>
          <w:sz w:val="28"/>
          <w:szCs w:val="28"/>
        </w:rPr>
        <w:t>Grunau</w:t>
      </w:r>
      <w:proofErr w:type="spellEnd"/>
      <w:r w:rsidRPr="000B3307">
        <w:rPr>
          <w:rFonts w:ascii="Arial" w:hAnsi="Arial"/>
          <w:sz w:val="28"/>
          <w:szCs w:val="28"/>
        </w:rPr>
        <w:t xml:space="preserve"> BE et al. Incidence of Clinically Important Biphasic Reactions in Emergency Department Patients with Allergic Reactions or Anaphylaxis. Ann of EM 2014 63(6): 736-44.</w:t>
      </w:r>
    </w:p>
    <w:p w14:paraId="797C5120" w14:textId="77777777" w:rsidR="00A40314" w:rsidRPr="000B3307" w:rsidRDefault="00A40314" w:rsidP="000B3307">
      <w:pPr>
        <w:pStyle w:val="ListParagraph"/>
        <w:numPr>
          <w:ilvl w:val="0"/>
          <w:numId w:val="11"/>
        </w:numPr>
        <w:jc w:val="both"/>
        <w:rPr>
          <w:rFonts w:ascii="Arial" w:hAnsi="Arial"/>
          <w:sz w:val="28"/>
          <w:szCs w:val="28"/>
        </w:rPr>
      </w:pPr>
      <w:proofErr w:type="spellStart"/>
      <w:r w:rsidRPr="000B3307">
        <w:rPr>
          <w:rFonts w:ascii="Arial" w:hAnsi="Arial"/>
          <w:sz w:val="28"/>
          <w:szCs w:val="28"/>
        </w:rPr>
        <w:t>Rohacek</w:t>
      </w:r>
      <w:proofErr w:type="spellEnd"/>
      <w:r w:rsidRPr="000B3307">
        <w:rPr>
          <w:rFonts w:ascii="Arial" w:hAnsi="Arial"/>
          <w:sz w:val="28"/>
          <w:szCs w:val="28"/>
        </w:rPr>
        <w:t xml:space="preserve"> M, </w:t>
      </w:r>
      <w:proofErr w:type="spellStart"/>
      <w:r w:rsidRPr="000B3307">
        <w:rPr>
          <w:rFonts w:ascii="Arial" w:hAnsi="Arial"/>
          <w:sz w:val="28"/>
          <w:szCs w:val="28"/>
        </w:rPr>
        <w:t>Edenhofer</w:t>
      </w:r>
      <w:proofErr w:type="spellEnd"/>
      <w:r w:rsidRPr="000B3307">
        <w:rPr>
          <w:rFonts w:ascii="Arial" w:hAnsi="Arial"/>
          <w:sz w:val="28"/>
          <w:szCs w:val="28"/>
        </w:rPr>
        <w:t xml:space="preserve"> H, Bircher A. Biphasic anaphylactic reactions: </w:t>
      </w:r>
      <w:proofErr w:type="spellStart"/>
      <w:r w:rsidRPr="000B3307">
        <w:rPr>
          <w:rFonts w:ascii="Arial" w:hAnsi="Arial"/>
          <w:sz w:val="28"/>
          <w:szCs w:val="28"/>
        </w:rPr>
        <w:t>occurance</w:t>
      </w:r>
      <w:proofErr w:type="spellEnd"/>
      <w:r w:rsidRPr="000B3307">
        <w:rPr>
          <w:rFonts w:ascii="Arial" w:hAnsi="Arial"/>
          <w:sz w:val="28"/>
          <w:szCs w:val="28"/>
        </w:rPr>
        <w:t xml:space="preserve"> and mortality. </w:t>
      </w:r>
      <w:proofErr w:type="spellStart"/>
      <w:r w:rsidRPr="000B3307">
        <w:rPr>
          <w:rFonts w:ascii="Arial" w:hAnsi="Arial"/>
          <w:sz w:val="28"/>
          <w:szCs w:val="28"/>
        </w:rPr>
        <w:t>Eur</w:t>
      </w:r>
      <w:proofErr w:type="spellEnd"/>
      <w:r w:rsidRPr="000B3307">
        <w:rPr>
          <w:rFonts w:ascii="Arial" w:hAnsi="Arial"/>
          <w:sz w:val="28"/>
          <w:szCs w:val="28"/>
        </w:rPr>
        <w:t xml:space="preserve"> J All </w:t>
      </w:r>
      <w:proofErr w:type="spellStart"/>
      <w:r w:rsidRPr="000B3307">
        <w:rPr>
          <w:rFonts w:ascii="Arial" w:hAnsi="Arial"/>
          <w:sz w:val="28"/>
          <w:szCs w:val="28"/>
        </w:rPr>
        <w:t>Clin</w:t>
      </w:r>
      <w:proofErr w:type="spellEnd"/>
      <w:r w:rsidRPr="000B3307">
        <w:rPr>
          <w:rFonts w:ascii="Arial" w:hAnsi="Arial"/>
          <w:sz w:val="28"/>
          <w:szCs w:val="28"/>
        </w:rPr>
        <w:t xml:space="preserve"> </w:t>
      </w:r>
      <w:proofErr w:type="spellStart"/>
      <w:r w:rsidRPr="000B3307">
        <w:rPr>
          <w:rFonts w:ascii="Arial" w:hAnsi="Arial"/>
          <w:sz w:val="28"/>
          <w:szCs w:val="28"/>
        </w:rPr>
        <w:t>Imm</w:t>
      </w:r>
      <w:proofErr w:type="spellEnd"/>
      <w:r w:rsidRPr="000B3307">
        <w:rPr>
          <w:rFonts w:ascii="Arial" w:hAnsi="Arial"/>
          <w:sz w:val="28"/>
          <w:szCs w:val="28"/>
        </w:rPr>
        <w:t xml:space="preserve"> 2014; 69(6): 791-7.</w:t>
      </w:r>
    </w:p>
    <w:p w14:paraId="314125A6" w14:textId="77777777" w:rsidR="00C44C52" w:rsidRPr="000B3307" w:rsidRDefault="00C44C52" w:rsidP="000B3307">
      <w:pPr>
        <w:jc w:val="both"/>
        <w:rPr>
          <w:rFonts w:ascii="Arial" w:hAnsi="Arial"/>
          <w:sz w:val="28"/>
          <w:szCs w:val="28"/>
        </w:rPr>
      </w:pPr>
    </w:p>
    <w:p w14:paraId="2B4E0FDF" w14:textId="65AC3047" w:rsidR="000B3307" w:rsidRPr="000B3307" w:rsidRDefault="000B3307" w:rsidP="000B3307">
      <w:pPr>
        <w:jc w:val="both"/>
        <w:rPr>
          <w:rFonts w:ascii="Arial" w:hAnsi="Arial"/>
          <w:sz w:val="28"/>
          <w:szCs w:val="28"/>
        </w:rPr>
      </w:pPr>
      <w:r w:rsidRPr="000B3307">
        <w:rPr>
          <w:rFonts w:ascii="Arial" w:hAnsi="Arial"/>
          <w:b/>
          <w:sz w:val="28"/>
          <w:szCs w:val="28"/>
        </w:rPr>
        <w:t>Topic #2:</w:t>
      </w:r>
      <w:r>
        <w:rPr>
          <w:rFonts w:ascii="Arial" w:hAnsi="Arial"/>
          <w:sz w:val="28"/>
          <w:szCs w:val="28"/>
        </w:rPr>
        <w:t xml:space="preserve"> </w:t>
      </w:r>
      <w:r w:rsidRPr="000B3307">
        <w:rPr>
          <w:rFonts w:ascii="Arial" w:hAnsi="Arial"/>
          <w:sz w:val="28"/>
          <w:szCs w:val="28"/>
        </w:rPr>
        <w:t>Total Lymphocyte Count as a</w:t>
      </w:r>
      <w:r w:rsidR="00AD58C6">
        <w:rPr>
          <w:rFonts w:ascii="Arial" w:hAnsi="Arial"/>
          <w:sz w:val="28"/>
          <w:szCs w:val="28"/>
        </w:rPr>
        <w:t xml:space="preserve"> Surrogate Marker for CD4 Count</w:t>
      </w:r>
    </w:p>
    <w:p w14:paraId="6CC3AB2F" w14:textId="77777777" w:rsidR="000B3307" w:rsidRPr="000B3307" w:rsidRDefault="000B3307" w:rsidP="000B3307">
      <w:pPr>
        <w:jc w:val="both"/>
        <w:rPr>
          <w:rFonts w:ascii="Arial" w:hAnsi="Arial"/>
          <w:sz w:val="28"/>
          <w:szCs w:val="28"/>
        </w:rPr>
      </w:pPr>
    </w:p>
    <w:p w14:paraId="298B2DBA" w14:textId="77777777" w:rsidR="000B3307" w:rsidRPr="000B3307" w:rsidRDefault="000B3307" w:rsidP="000B3307">
      <w:pPr>
        <w:jc w:val="both"/>
        <w:rPr>
          <w:rFonts w:ascii="Arial" w:hAnsi="Arial"/>
          <w:sz w:val="28"/>
          <w:szCs w:val="28"/>
        </w:rPr>
      </w:pPr>
      <w:r w:rsidRPr="000B3307">
        <w:rPr>
          <w:rFonts w:ascii="Arial" w:hAnsi="Arial"/>
          <w:b/>
          <w:sz w:val="28"/>
          <w:szCs w:val="28"/>
        </w:rPr>
        <w:t>Clinical Question:</w:t>
      </w:r>
      <w:r w:rsidRPr="000B3307">
        <w:rPr>
          <w:rFonts w:ascii="Arial" w:hAnsi="Arial"/>
          <w:sz w:val="28"/>
          <w:szCs w:val="28"/>
        </w:rPr>
        <w:t xml:space="preserve"> Can we Use Total Lymphocyte Count as a surrogate marker for CD4 Counts in HIV/AIDs patients?</w:t>
      </w:r>
    </w:p>
    <w:p w14:paraId="5B65F197" w14:textId="77777777" w:rsidR="000B3307" w:rsidRPr="000B3307" w:rsidRDefault="000B3307" w:rsidP="000B3307">
      <w:pPr>
        <w:jc w:val="both"/>
        <w:rPr>
          <w:rFonts w:ascii="Arial" w:hAnsi="Arial"/>
          <w:sz w:val="28"/>
          <w:szCs w:val="28"/>
        </w:rPr>
      </w:pPr>
    </w:p>
    <w:p w14:paraId="70F21075" w14:textId="77777777" w:rsidR="000B3307" w:rsidRPr="000B3307" w:rsidRDefault="000B3307" w:rsidP="000B3307">
      <w:pPr>
        <w:jc w:val="both"/>
        <w:rPr>
          <w:rFonts w:ascii="Arial" w:hAnsi="Arial"/>
          <w:b/>
          <w:sz w:val="28"/>
          <w:szCs w:val="28"/>
        </w:rPr>
      </w:pPr>
      <w:r w:rsidRPr="000B3307">
        <w:rPr>
          <w:rFonts w:ascii="Arial" w:hAnsi="Arial"/>
          <w:b/>
          <w:sz w:val="28"/>
          <w:szCs w:val="28"/>
        </w:rPr>
        <w:t>Total Lymphocyte Count (TLC) Calculation:</w:t>
      </w:r>
    </w:p>
    <w:p w14:paraId="116E5A35" w14:textId="77777777" w:rsidR="000B3307" w:rsidRPr="000B3307" w:rsidRDefault="000B3307" w:rsidP="000B3307">
      <w:pPr>
        <w:jc w:val="both"/>
        <w:rPr>
          <w:rFonts w:ascii="Arial" w:hAnsi="Arial"/>
          <w:sz w:val="28"/>
          <w:szCs w:val="28"/>
        </w:rPr>
      </w:pPr>
    </w:p>
    <w:p w14:paraId="518766EA" w14:textId="77777777" w:rsidR="000B3307" w:rsidRPr="000B3307" w:rsidRDefault="000B3307" w:rsidP="000B3307">
      <w:pPr>
        <w:jc w:val="both"/>
        <w:rPr>
          <w:rFonts w:ascii="Arial" w:hAnsi="Arial"/>
          <w:sz w:val="28"/>
          <w:szCs w:val="28"/>
        </w:rPr>
      </w:pPr>
      <w:r w:rsidRPr="000B3307">
        <w:rPr>
          <w:rFonts w:ascii="Arial" w:hAnsi="Arial"/>
          <w:sz w:val="28"/>
          <w:szCs w:val="28"/>
        </w:rPr>
        <w:t>TLC Calculation = (% lymphocytes x WBC count)/100</w:t>
      </w:r>
    </w:p>
    <w:p w14:paraId="5283F9AC" w14:textId="77777777" w:rsidR="000B3307" w:rsidRPr="000B3307" w:rsidRDefault="000B3307" w:rsidP="000B3307">
      <w:pPr>
        <w:jc w:val="both"/>
        <w:rPr>
          <w:rFonts w:ascii="Arial" w:hAnsi="Arial"/>
          <w:sz w:val="28"/>
          <w:szCs w:val="28"/>
        </w:rPr>
      </w:pPr>
      <w:r w:rsidRPr="000B3307">
        <w:rPr>
          <w:rFonts w:ascii="Arial" w:hAnsi="Arial"/>
          <w:sz w:val="28"/>
          <w:szCs w:val="28"/>
        </w:rPr>
        <w:t>If a patient has 10% lymphocytes and a WBC count of 4000…the TLC would be (10 x4000)/100 = 400</w:t>
      </w:r>
    </w:p>
    <w:p w14:paraId="2C0E0D15" w14:textId="77777777" w:rsidR="000B3307" w:rsidRPr="000B3307" w:rsidRDefault="000B3307" w:rsidP="000B3307">
      <w:pPr>
        <w:jc w:val="both"/>
        <w:rPr>
          <w:rFonts w:ascii="Arial" w:hAnsi="Arial"/>
          <w:sz w:val="28"/>
          <w:szCs w:val="28"/>
        </w:rPr>
      </w:pPr>
    </w:p>
    <w:p w14:paraId="3218B10D" w14:textId="77777777" w:rsidR="000B3307" w:rsidRPr="000B3307" w:rsidRDefault="000B3307" w:rsidP="000B3307">
      <w:pPr>
        <w:jc w:val="both"/>
        <w:rPr>
          <w:rFonts w:ascii="Arial" w:hAnsi="Arial"/>
          <w:b/>
          <w:sz w:val="28"/>
          <w:szCs w:val="28"/>
        </w:rPr>
      </w:pPr>
      <w:r w:rsidRPr="000B3307">
        <w:rPr>
          <w:rFonts w:ascii="Arial" w:hAnsi="Arial"/>
          <w:b/>
          <w:sz w:val="28"/>
          <w:szCs w:val="28"/>
        </w:rPr>
        <w:t>Article:</w:t>
      </w:r>
      <w:bookmarkStart w:id="0" w:name="_GoBack"/>
      <w:bookmarkEnd w:id="0"/>
    </w:p>
    <w:p w14:paraId="784D1211" w14:textId="77777777" w:rsidR="000B3307" w:rsidRPr="000B3307" w:rsidRDefault="000B3307" w:rsidP="000B3307">
      <w:pPr>
        <w:jc w:val="both"/>
        <w:rPr>
          <w:rFonts w:ascii="Arial" w:hAnsi="Arial"/>
          <w:sz w:val="28"/>
          <w:szCs w:val="28"/>
        </w:rPr>
      </w:pPr>
    </w:p>
    <w:p w14:paraId="3FBB07EB" w14:textId="392B3C7D" w:rsidR="000B3307" w:rsidRPr="000B3307" w:rsidRDefault="000B3307" w:rsidP="000B3307">
      <w:pPr>
        <w:jc w:val="both"/>
        <w:rPr>
          <w:rFonts w:ascii="Arial" w:hAnsi="Arial"/>
          <w:sz w:val="28"/>
          <w:szCs w:val="28"/>
        </w:rPr>
      </w:pPr>
      <w:proofErr w:type="spellStart"/>
      <w:r w:rsidRPr="000B3307">
        <w:rPr>
          <w:rFonts w:ascii="Arial" w:hAnsi="Arial"/>
          <w:sz w:val="28"/>
          <w:szCs w:val="28"/>
        </w:rPr>
        <w:t>Obirikorang</w:t>
      </w:r>
      <w:proofErr w:type="spellEnd"/>
      <w:r w:rsidRPr="000B3307">
        <w:rPr>
          <w:rFonts w:ascii="Arial" w:hAnsi="Arial"/>
          <w:sz w:val="28"/>
          <w:szCs w:val="28"/>
        </w:rPr>
        <w:t xml:space="preserve"> C et al. Total Lymphocyte Count as a Surrogate Marker for CD4 Count in Resource-Limited</w:t>
      </w:r>
      <w:r w:rsidR="004B6D73">
        <w:rPr>
          <w:rFonts w:ascii="Arial" w:hAnsi="Arial"/>
          <w:sz w:val="28"/>
          <w:szCs w:val="28"/>
        </w:rPr>
        <w:t xml:space="preserve"> Settings</w:t>
      </w:r>
      <w:r w:rsidRPr="000B3307">
        <w:rPr>
          <w:rFonts w:ascii="Arial" w:hAnsi="Arial"/>
          <w:sz w:val="28"/>
          <w:szCs w:val="28"/>
        </w:rPr>
        <w:t xml:space="preserve">. </w:t>
      </w:r>
      <w:proofErr w:type="gramStart"/>
      <w:r w:rsidRPr="000B3307">
        <w:rPr>
          <w:rFonts w:ascii="Arial" w:hAnsi="Arial"/>
          <w:sz w:val="28"/>
          <w:szCs w:val="28"/>
        </w:rPr>
        <w:t>BMC Infectious Diseases Journal 2012; 12 (128): 1 - 5.</w:t>
      </w:r>
      <w:proofErr w:type="gramEnd"/>
    </w:p>
    <w:p w14:paraId="052B9206" w14:textId="77777777" w:rsidR="000B3307" w:rsidRPr="000B3307" w:rsidRDefault="000B3307" w:rsidP="000B3307">
      <w:pPr>
        <w:jc w:val="both"/>
        <w:rPr>
          <w:rFonts w:ascii="Arial" w:hAnsi="Arial"/>
          <w:sz w:val="28"/>
          <w:szCs w:val="28"/>
        </w:rPr>
      </w:pPr>
    </w:p>
    <w:p w14:paraId="738DA6E0" w14:textId="77777777" w:rsidR="000B3307" w:rsidRPr="000B3307" w:rsidRDefault="000B3307" w:rsidP="000B3307">
      <w:pPr>
        <w:jc w:val="both"/>
        <w:rPr>
          <w:rFonts w:ascii="Arial" w:hAnsi="Arial"/>
          <w:sz w:val="28"/>
          <w:szCs w:val="28"/>
        </w:rPr>
      </w:pPr>
      <w:r w:rsidRPr="000B3307">
        <w:rPr>
          <w:rFonts w:ascii="Arial" w:hAnsi="Arial"/>
          <w:b/>
          <w:sz w:val="28"/>
          <w:szCs w:val="28"/>
        </w:rPr>
        <w:t>PMID:</w:t>
      </w:r>
      <w:r w:rsidRPr="000B3307">
        <w:rPr>
          <w:rFonts w:ascii="Arial" w:hAnsi="Arial"/>
          <w:sz w:val="28"/>
          <w:szCs w:val="28"/>
        </w:rPr>
        <w:t xml:space="preserve"> 22676809</w:t>
      </w:r>
    </w:p>
    <w:p w14:paraId="1C47D025" w14:textId="77777777" w:rsidR="000B3307" w:rsidRPr="000B3307" w:rsidRDefault="000B3307" w:rsidP="000B3307">
      <w:pPr>
        <w:jc w:val="both"/>
        <w:rPr>
          <w:rFonts w:ascii="Arial" w:hAnsi="Arial"/>
          <w:sz w:val="28"/>
          <w:szCs w:val="28"/>
        </w:rPr>
      </w:pPr>
    </w:p>
    <w:p w14:paraId="0A08DD28" w14:textId="77777777" w:rsidR="000B3307" w:rsidRPr="000B3307" w:rsidRDefault="000B3307" w:rsidP="000B3307">
      <w:pPr>
        <w:jc w:val="both"/>
        <w:rPr>
          <w:rFonts w:ascii="Arial" w:hAnsi="Arial"/>
          <w:b/>
          <w:sz w:val="28"/>
          <w:szCs w:val="28"/>
        </w:rPr>
      </w:pPr>
      <w:r w:rsidRPr="000B3307">
        <w:rPr>
          <w:rFonts w:ascii="Arial" w:hAnsi="Arial"/>
          <w:b/>
          <w:sz w:val="28"/>
          <w:szCs w:val="28"/>
        </w:rPr>
        <w:t>What they did:</w:t>
      </w:r>
    </w:p>
    <w:p w14:paraId="11190679" w14:textId="77777777" w:rsidR="000B3307" w:rsidRPr="000B3307" w:rsidRDefault="000B3307" w:rsidP="000B3307">
      <w:pPr>
        <w:jc w:val="both"/>
        <w:rPr>
          <w:rFonts w:ascii="Arial" w:hAnsi="Arial"/>
          <w:sz w:val="28"/>
          <w:szCs w:val="28"/>
        </w:rPr>
      </w:pPr>
      <w:r w:rsidRPr="000B3307">
        <w:rPr>
          <w:rFonts w:ascii="Arial" w:hAnsi="Arial"/>
          <w:sz w:val="28"/>
          <w:szCs w:val="28"/>
        </w:rPr>
        <w:t>An observational study of 184 patients with confirmed seropositive HIV. Blood samples were taken at the same time to estimate CD4 counts and total lymphocyte counts.</w:t>
      </w:r>
    </w:p>
    <w:p w14:paraId="081A199E" w14:textId="77777777" w:rsidR="000B3307" w:rsidRPr="000B3307" w:rsidRDefault="000B3307" w:rsidP="000B3307">
      <w:pPr>
        <w:jc w:val="both"/>
        <w:rPr>
          <w:rFonts w:ascii="Arial" w:hAnsi="Arial"/>
          <w:sz w:val="28"/>
          <w:szCs w:val="28"/>
        </w:rPr>
      </w:pPr>
    </w:p>
    <w:p w14:paraId="6C5564B7" w14:textId="77777777" w:rsidR="000B3307" w:rsidRPr="000B3307" w:rsidRDefault="000B3307" w:rsidP="000B3307">
      <w:pPr>
        <w:jc w:val="both"/>
        <w:rPr>
          <w:rFonts w:ascii="Arial" w:hAnsi="Arial"/>
          <w:sz w:val="28"/>
          <w:szCs w:val="28"/>
        </w:rPr>
      </w:pPr>
      <w:r w:rsidRPr="000B3307">
        <w:rPr>
          <w:rFonts w:ascii="Arial" w:hAnsi="Arial"/>
          <w:sz w:val="28"/>
          <w:szCs w:val="28"/>
        </w:rPr>
        <w:t>Patients were categorized into 3 categories of CD4 counts as defined by the Centers for Disease Control and Prevention (CDC):</w:t>
      </w:r>
    </w:p>
    <w:p w14:paraId="2305A1AA" w14:textId="77777777" w:rsidR="000B3307" w:rsidRPr="000B3307" w:rsidRDefault="000B3307" w:rsidP="000B3307">
      <w:pPr>
        <w:jc w:val="both"/>
        <w:rPr>
          <w:rFonts w:ascii="Arial" w:hAnsi="Arial"/>
          <w:sz w:val="28"/>
          <w:szCs w:val="28"/>
        </w:rPr>
      </w:pPr>
    </w:p>
    <w:p w14:paraId="2A17C0DD" w14:textId="77777777" w:rsidR="000B3307" w:rsidRPr="000B3307" w:rsidRDefault="000B3307" w:rsidP="000B3307">
      <w:pPr>
        <w:jc w:val="both"/>
        <w:rPr>
          <w:rFonts w:ascii="Arial" w:hAnsi="Arial"/>
          <w:sz w:val="28"/>
          <w:szCs w:val="28"/>
        </w:rPr>
      </w:pPr>
      <w:r w:rsidRPr="000B3307">
        <w:rPr>
          <w:rFonts w:ascii="Arial" w:hAnsi="Arial"/>
          <w:sz w:val="28"/>
          <w:szCs w:val="28"/>
        </w:rPr>
        <w:t xml:space="preserve">CD4 </w:t>
      </w:r>
      <w:r w:rsidRPr="000B3307">
        <w:rPr>
          <w:rFonts w:ascii="Arial" w:hAnsi="Arial" w:cs="Arial"/>
          <w:sz w:val="28"/>
          <w:szCs w:val="28"/>
        </w:rPr>
        <w:t>≥</w:t>
      </w:r>
      <w:r w:rsidRPr="000B3307">
        <w:rPr>
          <w:rFonts w:ascii="Arial" w:hAnsi="Arial"/>
          <w:sz w:val="28"/>
          <w:szCs w:val="28"/>
        </w:rPr>
        <w:t xml:space="preserve"> 500 cells/mm</w:t>
      </w:r>
      <w:r w:rsidRPr="000B3307">
        <w:rPr>
          <w:rFonts w:ascii="Arial" w:hAnsi="Arial"/>
          <w:sz w:val="28"/>
          <w:szCs w:val="28"/>
          <w:vertAlign w:val="superscript"/>
        </w:rPr>
        <w:t>3</w:t>
      </w:r>
    </w:p>
    <w:p w14:paraId="6C4EAA69" w14:textId="77777777" w:rsidR="000B3307" w:rsidRPr="000B3307" w:rsidRDefault="000B3307" w:rsidP="000B3307">
      <w:pPr>
        <w:jc w:val="both"/>
        <w:rPr>
          <w:rFonts w:ascii="Arial" w:hAnsi="Arial"/>
          <w:sz w:val="28"/>
          <w:szCs w:val="28"/>
        </w:rPr>
      </w:pPr>
      <w:r w:rsidRPr="000B3307">
        <w:rPr>
          <w:rFonts w:ascii="Arial" w:hAnsi="Arial"/>
          <w:sz w:val="28"/>
          <w:szCs w:val="28"/>
        </w:rPr>
        <w:t>CD4 200 – 499 cells/mm</w:t>
      </w:r>
      <w:r w:rsidRPr="000B3307">
        <w:rPr>
          <w:rFonts w:ascii="Arial" w:hAnsi="Arial"/>
          <w:sz w:val="28"/>
          <w:szCs w:val="28"/>
          <w:vertAlign w:val="superscript"/>
        </w:rPr>
        <w:t>3</w:t>
      </w:r>
    </w:p>
    <w:p w14:paraId="20EC6CF7" w14:textId="77777777" w:rsidR="000B3307" w:rsidRPr="000B3307" w:rsidRDefault="000B3307" w:rsidP="000B3307">
      <w:pPr>
        <w:jc w:val="both"/>
        <w:rPr>
          <w:rFonts w:ascii="Arial" w:hAnsi="Arial"/>
          <w:sz w:val="28"/>
          <w:szCs w:val="28"/>
        </w:rPr>
      </w:pPr>
      <w:r w:rsidRPr="000B3307">
        <w:rPr>
          <w:rFonts w:ascii="Arial" w:hAnsi="Arial"/>
          <w:sz w:val="28"/>
          <w:szCs w:val="28"/>
        </w:rPr>
        <w:t>CD4 &lt;200 cells/mm</w:t>
      </w:r>
      <w:r w:rsidRPr="000B3307">
        <w:rPr>
          <w:rFonts w:ascii="Arial" w:hAnsi="Arial"/>
          <w:sz w:val="28"/>
          <w:szCs w:val="28"/>
          <w:vertAlign w:val="superscript"/>
        </w:rPr>
        <w:t>3</w:t>
      </w:r>
    </w:p>
    <w:p w14:paraId="291D0C16" w14:textId="77777777" w:rsidR="000B3307" w:rsidRPr="000B3307" w:rsidRDefault="000B3307" w:rsidP="000B3307">
      <w:pPr>
        <w:jc w:val="both"/>
        <w:rPr>
          <w:rFonts w:ascii="Arial" w:hAnsi="Arial"/>
          <w:sz w:val="28"/>
          <w:szCs w:val="28"/>
        </w:rPr>
      </w:pPr>
    </w:p>
    <w:p w14:paraId="5A655EFD" w14:textId="77777777" w:rsidR="000B3307" w:rsidRPr="000B3307" w:rsidRDefault="000B3307" w:rsidP="000B3307">
      <w:pPr>
        <w:jc w:val="both"/>
        <w:rPr>
          <w:rFonts w:ascii="Arial" w:hAnsi="Arial"/>
          <w:sz w:val="28"/>
          <w:szCs w:val="28"/>
        </w:rPr>
      </w:pPr>
      <w:r w:rsidRPr="000B3307">
        <w:rPr>
          <w:rFonts w:ascii="Arial" w:hAnsi="Arial"/>
          <w:sz w:val="28"/>
          <w:szCs w:val="28"/>
        </w:rPr>
        <w:t>There are 2 cut-offs in my mind that stick out here…</w:t>
      </w:r>
      <w:proofErr w:type="gramStart"/>
      <w:r w:rsidRPr="000B3307">
        <w:rPr>
          <w:rFonts w:ascii="Arial" w:hAnsi="Arial"/>
          <w:sz w:val="28"/>
          <w:szCs w:val="28"/>
        </w:rPr>
        <w:t>.CD4</w:t>
      </w:r>
      <w:proofErr w:type="gramEnd"/>
      <w:r w:rsidRPr="000B3307">
        <w:rPr>
          <w:rFonts w:ascii="Arial" w:hAnsi="Arial"/>
          <w:sz w:val="28"/>
          <w:szCs w:val="28"/>
        </w:rPr>
        <w:t xml:space="preserve"> &lt;350 is typically the number used to initiate HIV therapy, and CD4 &lt; 200 is when we as ED physicians should consider opportunistic infections.</w:t>
      </w:r>
    </w:p>
    <w:p w14:paraId="7DF9F62F" w14:textId="77777777" w:rsidR="000B3307" w:rsidRPr="000B3307" w:rsidRDefault="000B3307" w:rsidP="000B3307">
      <w:pPr>
        <w:jc w:val="both"/>
        <w:rPr>
          <w:rFonts w:ascii="Arial" w:hAnsi="Arial"/>
          <w:sz w:val="28"/>
          <w:szCs w:val="28"/>
        </w:rPr>
      </w:pPr>
    </w:p>
    <w:p w14:paraId="796666F3" w14:textId="77777777" w:rsidR="000B3307" w:rsidRPr="000B3307" w:rsidRDefault="000B3307" w:rsidP="000B3307">
      <w:pPr>
        <w:jc w:val="both"/>
        <w:rPr>
          <w:rFonts w:ascii="Arial" w:hAnsi="Arial"/>
          <w:b/>
          <w:sz w:val="28"/>
          <w:szCs w:val="28"/>
        </w:rPr>
      </w:pPr>
      <w:r w:rsidRPr="000B3307">
        <w:rPr>
          <w:rFonts w:ascii="Arial" w:hAnsi="Arial"/>
          <w:b/>
          <w:sz w:val="28"/>
          <w:szCs w:val="28"/>
        </w:rPr>
        <w:t>Patients Excluded:</w:t>
      </w:r>
    </w:p>
    <w:p w14:paraId="68887E79" w14:textId="77777777" w:rsidR="000B3307" w:rsidRPr="000B3307" w:rsidRDefault="000B3307" w:rsidP="000B3307">
      <w:pPr>
        <w:jc w:val="both"/>
        <w:rPr>
          <w:rFonts w:ascii="Arial" w:hAnsi="Arial"/>
          <w:sz w:val="28"/>
          <w:szCs w:val="28"/>
        </w:rPr>
      </w:pPr>
      <w:r w:rsidRPr="000B3307">
        <w:rPr>
          <w:rFonts w:ascii="Arial" w:hAnsi="Arial"/>
          <w:sz w:val="28"/>
          <w:szCs w:val="28"/>
        </w:rPr>
        <w:t>Patients on antiretroviral therapy and comorbidities such as tuberculosis, endocarditis, and acute viral infections were excluded as all of these can greatly affect hematologic counts.</w:t>
      </w:r>
    </w:p>
    <w:p w14:paraId="5768CE15" w14:textId="77777777" w:rsidR="000B3307" w:rsidRPr="000B3307" w:rsidRDefault="000B3307" w:rsidP="000B3307">
      <w:pPr>
        <w:jc w:val="both"/>
        <w:rPr>
          <w:rFonts w:ascii="Arial" w:hAnsi="Arial"/>
          <w:sz w:val="28"/>
          <w:szCs w:val="28"/>
        </w:rPr>
      </w:pPr>
    </w:p>
    <w:p w14:paraId="6AB6EB92" w14:textId="77777777" w:rsidR="000B3307" w:rsidRPr="000B3307" w:rsidRDefault="000B3307" w:rsidP="000B3307">
      <w:pPr>
        <w:jc w:val="both"/>
        <w:rPr>
          <w:rFonts w:ascii="Arial" w:hAnsi="Arial"/>
          <w:b/>
          <w:sz w:val="28"/>
          <w:szCs w:val="28"/>
        </w:rPr>
      </w:pPr>
      <w:r w:rsidRPr="000B3307">
        <w:rPr>
          <w:rFonts w:ascii="Arial" w:hAnsi="Arial"/>
          <w:b/>
          <w:sz w:val="28"/>
          <w:szCs w:val="28"/>
        </w:rPr>
        <w:t xml:space="preserve">What TLC correlates with what CD4 </w:t>
      </w:r>
      <w:proofErr w:type="gramStart"/>
      <w:r w:rsidRPr="000B3307">
        <w:rPr>
          <w:rFonts w:ascii="Arial" w:hAnsi="Arial"/>
          <w:b/>
          <w:sz w:val="28"/>
          <w:szCs w:val="28"/>
        </w:rPr>
        <w:t>Counts:</w:t>
      </w:r>
      <w:proofErr w:type="gramEnd"/>
    </w:p>
    <w:p w14:paraId="0678281E" w14:textId="77777777" w:rsidR="000B3307" w:rsidRPr="000B3307" w:rsidRDefault="000B3307" w:rsidP="000B3307">
      <w:pPr>
        <w:pStyle w:val="ListParagraph"/>
        <w:numPr>
          <w:ilvl w:val="0"/>
          <w:numId w:val="6"/>
        </w:numPr>
        <w:jc w:val="both"/>
        <w:rPr>
          <w:rFonts w:ascii="Arial" w:hAnsi="Arial"/>
          <w:sz w:val="28"/>
          <w:szCs w:val="28"/>
        </w:rPr>
      </w:pPr>
      <w:r w:rsidRPr="000B3307">
        <w:rPr>
          <w:rFonts w:ascii="Arial" w:hAnsi="Arial"/>
          <w:sz w:val="28"/>
          <w:szCs w:val="28"/>
        </w:rPr>
        <w:t>TLC 1200 cells/mm</w:t>
      </w:r>
      <w:r w:rsidRPr="000B3307">
        <w:rPr>
          <w:rFonts w:ascii="Arial" w:hAnsi="Arial"/>
          <w:sz w:val="28"/>
          <w:szCs w:val="28"/>
          <w:vertAlign w:val="superscript"/>
        </w:rPr>
        <w:t>3</w:t>
      </w:r>
      <w:r w:rsidRPr="000B3307">
        <w:rPr>
          <w:rFonts w:ascii="Arial" w:hAnsi="Arial"/>
          <w:sz w:val="28"/>
          <w:szCs w:val="28"/>
        </w:rPr>
        <w:t xml:space="preserve"> correlated with CD4 count of &lt; 200 cells/mm</w:t>
      </w:r>
      <w:r w:rsidRPr="000B3307">
        <w:rPr>
          <w:rFonts w:ascii="Arial" w:hAnsi="Arial"/>
          <w:sz w:val="28"/>
          <w:szCs w:val="28"/>
          <w:vertAlign w:val="superscript"/>
        </w:rPr>
        <w:t>3</w:t>
      </w:r>
      <w:r w:rsidRPr="000B3307">
        <w:rPr>
          <w:rFonts w:ascii="Arial" w:hAnsi="Arial"/>
          <w:sz w:val="28"/>
          <w:szCs w:val="28"/>
        </w:rPr>
        <w:t xml:space="preserve"> with a maximal sensitivity of 72.2%, and specificity of 100%</w:t>
      </w:r>
    </w:p>
    <w:p w14:paraId="4AA7C5D6" w14:textId="77777777" w:rsidR="000B3307" w:rsidRPr="000B3307" w:rsidRDefault="000B3307" w:rsidP="000B3307">
      <w:pPr>
        <w:pStyle w:val="ListParagraph"/>
        <w:numPr>
          <w:ilvl w:val="0"/>
          <w:numId w:val="6"/>
        </w:numPr>
        <w:jc w:val="both"/>
        <w:rPr>
          <w:rFonts w:ascii="Arial" w:hAnsi="Arial"/>
          <w:sz w:val="28"/>
          <w:szCs w:val="28"/>
        </w:rPr>
      </w:pPr>
      <w:r w:rsidRPr="000B3307">
        <w:rPr>
          <w:rFonts w:ascii="Arial" w:hAnsi="Arial"/>
          <w:sz w:val="28"/>
          <w:szCs w:val="28"/>
        </w:rPr>
        <w:t>TLC1500 cells/mm</w:t>
      </w:r>
      <w:r w:rsidRPr="000B3307">
        <w:rPr>
          <w:rFonts w:ascii="Arial" w:hAnsi="Arial"/>
          <w:sz w:val="28"/>
          <w:szCs w:val="28"/>
          <w:vertAlign w:val="superscript"/>
        </w:rPr>
        <w:t>3</w:t>
      </w:r>
      <w:r w:rsidRPr="000B3307">
        <w:rPr>
          <w:rFonts w:ascii="Arial" w:hAnsi="Arial"/>
          <w:sz w:val="28"/>
          <w:szCs w:val="28"/>
        </w:rPr>
        <w:t xml:space="preserve"> correlated with CD4 count of 200 – 499 cells/mm</w:t>
      </w:r>
      <w:r w:rsidRPr="000B3307">
        <w:rPr>
          <w:rFonts w:ascii="Arial" w:hAnsi="Arial"/>
          <w:sz w:val="28"/>
          <w:szCs w:val="28"/>
          <w:vertAlign w:val="superscript"/>
        </w:rPr>
        <w:t>3</w:t>
      </w:r>
      <w:r w:rsidRPr="000B3307">
        <w:rPr>
          <w:rFonts w:ascii="Arial" w:hAnsi="Arial"/>
          <w:sz w:val="28"/>
          <w:szCs w:val="28"/>
        </w:rPr>
        <w:t xml:space="preserve"> with a maximal sensitivity of 96.7% and specificity of 100%</w:t>
      </w:r>
    </w:p>
    <w:p w14:paraId="215D92C3" w14:textId="77777777" w:rsidR="000B3307" w:rsidRPr="000B3307" w:rsidRDefault="000B3307" w:rsidP="000B3307">
      <w:pPr>
        <w:pStyle w:val="ListParagraph"/>
        <w:numPr>
          <w:ilvl w:val="0"/>
          <w:numId w:val="6"/>
        </w:numPr>
        <w:jc w:val="both"/>
        <w:rPr>
          <w:rFonts w:ascii="Arial" w:hAnsi="Arial"/>
          <w:sz w:val="28"/>
          <w:szCs w:val="28"/>
        </w:rPr>
      </w:pPr>
      <w:r w:rsidRPr="000B3307">
        <w:rPr>
          <w:rFonts w:ascii="Arial" w:hAnsi="Arial"/>
          <w:sz w:val="28"/>
          <w:szCs w:val="28"/>
        </w:rPr>
        <w:t>TLC 1900 cells/mm</w:t>
      </w:r>
      <w:r w:rsidRPr="000B3307">
        <w:rPr>
          <w:rFonts w:ascii="Arial" w:hAnsi="Arial"/>
          <w:sz w:val="28"/>
          <w:szCs w:val="28"/>
          <w:vertAlign w:val="superscript"/>
        </w:rPr>
        <w:t>3</w:t>
      </w:r>
      <w:r w:rsidRPr="000B3307">
        <w:rPr>
          <w:rFonts w:ascii="Arial" w:hAnsi="Arial"/>
          <w:sz w:val="28"/>
          <w:szCs w:val="28"/>
        </w:rPr>
        <w:t xml:space="preserve"> correlated with CD4 count of </w:t>
      </w:r>
      <w:r w:rsidRPr="000B3307">
        <w:rPr>
          <w:rFonts w:ascii="Arial" w:hAnsi="Arial" w:cs="Arial"/>
          <w:sz w:val="28"/>
          <w:szCs w:val="28"/>
        </w:rPr>
        <w:t>≥</w:t>
      </w:r>
      <w:r w:rsidRPr="000B3307">
        <w:rPr>
          <w:rFonts w:ascii="Arial" w:hAnsi="Arial"/>
          <w:sz w:val="28"/>
          <w:szCs w:val="28"/>
        </w:rPr>
        <w:t xml:space="preserve"> 500 cells/mm</w:t>
      </w:r>
      <w:r w:rsidRPr="000B3307">
        <w:rPr>
          <w:rFonts w:ascii="Arial" w:hAnsi="Arial"/>
          <w:sz w:val="28"/>
          <w:szCs w:val="28"/>
          <w:vertAlign w:val="superscript"/>
        </w:rPr>
        <w:t>3</w:t>
      </w:r>
      <w:r w:rsidRPr="000B3307">
        <w:rPr>
          <w:rFonts w:ascii="Arial" w:hAnsi="Arial"/>
          <w:sz w:val="28"/>
          <w:szCs w:val="28"/>
        </w:rPr>
        <w:t xml:space="preserve"> with a maximal sensitivity of 98.5% and specificity of 100%</w:t>
      </w:r>
    </w:p>
    <w:p w14:paraId="1DD40B86" w14:textId="77777777" w:rsidR="000B3307" w:rsidRPr="000B3307" w:rsidRDefault="000B3307" w:rsidP="000B3307">
      <w:pPr>
        <w:jc w:val="both"/>
        <w:rPr>
          <w:rFonts w:ascii="Arial" w:hAnsi="Arial"/>
          <w:sz w:val="28"/>
          <w:szCs w:val="28"/>
        </w:rPr>
      </w:pPr>
    </w:p>
    <w:p w14:paraId="6ACACE7F" w14:textId="77777777" w:rsidR="000B3307" w:rsidRPr="000B3307" w:rsidRDefault="000B3307" w:rsidP="000B3307">
      <w:pPr>
        <w:jc w:val="both"/>
        <w:rPr>
          <w:rFonts w:ascii="Arial" w:hAnsi="Arial"/>
          <w:sz w:val="28"/>
          <w:szCs w:val="28"/>
        </w:rPr>
      </w:pPr>
      <w:r w:rsidRPr="000B3307">
        <w:rPr>
          <w:rFonts w:ascii="Arial" w:hAnsi="Arial"/>
          <w:sz w:val="28"/>
          <w:szCs w:val="28"/>
        </w:rPr>
        <w:t>The above numbers were also assessed with Area Under the Curve (AUC) Analysis and the AUC of TLC predicting CD4 counts &lt; 200 was 0.98.</w:t>
      </w:r>
    </w:p>
    <w:p w14:paraId="0160CE89" w14:textId="77777777" w:rsidR="000B3307" w:rsidRPr="000B3307" w:rsidRDefault="000B3307" w:rsidP="000B3307">
      <w:pPr>
        <w:jc w:val="both"/>
        <w:rPr>
          <w:rFonts w:ascii="Arial" w:hAnsi="Arial"/>
          <w:sz w:val="28"/>
          <w:szCs w:val="28"/>
        </w:rPr>
      </w:pPr>
    </w:p>
    <w:p w14:paraId="79DFFC90" w14:textId="77777777" w:rsidR="000B3307" w:rsidRPr="000B3307" w:rsidRDefault="000B3307" w:rsidP="000B3307">
      <w:pPr>
        <w:jc w:val="both"/>
        <w:rPr>
          <w:rFonts w:ascii="Arial" w:hAnsi="Arial"/>
          <w:b/>
          <w:sz w:val="28"/>
          <w:szCs w:val="28"/>
        </w:rPr>
      </w:pPr>
      <w:r w:rsidRPr="000B3307">
        <w:rPr>
          <w:rFonts w:ascii="Arial" w:hAnsi="Arial"/>
          <w:b/>
          <w:sz w:val="28"/>
          <w:szCs w:val="28"/>
        </w:rPr>
        <w:t>Area Under the Curve (AUC)</w:t>
      </w:r>
    </w:p>
    <w:p w14:paraId="20E91342" w14:textId="77777777" w:rsidR="000B3307" w:rsidRPr="000B3307" w:rsidRDefault="000B3307" w:rsidP="000B3307">
      <w:pPr>
        <w:jc w:val="center"/>
        <w:rPr>
          <w:rFonts w:ascii="Arial" w:hAnsi="Arial"/>
          <w:b/>
          <w:sz w:val="28"/>
          <w:szCs w:val="28"/>
        </w:rPr>
      </w:pPr>
      <w:r w:rsidRPr="000B3307">
        <w:rPr>
          <w:rFonts w:ascii="Arial" w:hAnsi="Arial"/>
          <w:noProof/>
          <w:sz w:val="28"/>
          <w:szCs w:val="28"/>
        </w:rPr>
        <w:drawing>
          <wp:inline distT="0" distB="0" distL="0" distR="0" wp14:anchorId="18A3F1B9" wp14:editId="647D0585">
            <wp:extent cx="3654552" cy="3654552"/>
            <wp:effectExtent l="0" t="0" r="3175" b="3175"/>
            <wp:docPr id="1" name="Picture 1" descr="Macintosh HD:Users:razaie:Desktop:roc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zaie:Desktop:rocco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5025" cy="3655025"/>
                    </a:xfrm>
                    <a:prstGeom prst="rect">
                      <a:avLst/>
                    </a:prstGeom>
                    <a:noFill/>
                    <a:ln>
                      <a:noFill/>
                    </a:ln>
                  </pic:spPr>
                </pic:pic>
              </a:graphicData>
            </a:graphic>
          </wp:inline>
        </w:drawing>
      </w:r>
    </w:p>
    <w:p w14:paraId="28947C0E" w14:textId="77777777" w:rsidR="000B3307" w:rsidRPr="000B3307" w:rsidRDefault="000B3307" w:rsidP="000B3307">
      <w:pPr>
        <w:jc w:val="both"/>
        <w:rPr>
          <w:rFonts w:ascii="Arial" w:hAnsi="Arial"/>
          <w:sz w:val="28"/>
          <w:szCs w:val="28"/>
        </w:rPr>
      </w:pPr>
    </w:p>
    <w:p w14:paraId="6367FDF3" w14:textId="77777777" w:rsidR="000B3307" w:rsidRPr="000B3307" w:rsidRDefault="000B3307" w:rsidP="000B3307">
      <w:pPr>
        <w:pStyle w:val="ListParagraph"/>
        <w:numPr>
          <w:ilvl w:val="0"/>
          <w:numId w:val="7"/>
        </w:numPr>
        <w:jc w:val="both"/>
        <w:rPr>
          <w:rFonts w:ascii="Arial" w:hAnsi="Arial"/>
          <w:sz w:val="28"/>
          <w:szCs w:val="28"/>
        </w:rPr>
      </w:pPr>
      <w:r w:rsidRPr="000B3307">
        <w:rPr>
          <w:rFonts w:ascii="Arial" w:hAnsi="Arial"/>
          <w:sz w:val="28"/>
          <w:szCs w:val="28"/>
        </w:rPr>
        <w:t xml:space="preserve">Ratio of Sensitivity (True Positive Rate) </w:t>
      </w:r>
      <w:proofErr w:type="spellStart"/>
      <w:r w:rsidRPr="000B3307">
        <w:rPr>
          <w:rFonts w:ascii="Arial" w:hAnsi="Arial"/>
          <w:sz w:val="28"/>
          <w:szCs w:val="28"/>
        </w:rPr>
        <w:t>vs</w:t>
      </w:r>
      <w:proofErr w:type="spellEnd"/>
      <w:r w:rsidRPr="000B3307">
        <w:rPr>
          <w:rFonts w:ascii="Arial" w:hAnsi="Arial"/>
          <w:sz w:val="28"/>
          <w:szCs w:val="28"/>
        </w:rPr>
        <w:t xml:space="preserve"> 1 – Specificity (False Positive Rate)</w:t>
      </w:r>
    </w:p>
    <w:p w14:paraId="27863D74" w14:textId="77777777" w:rsidR="000B3307" w:rsidRPr="000B3307" w:rsidRDefault="000B3307" w:rsidP="000B3307">
      <w:pPr>
        <w:pStyle w:val="ListParagraph"/>
        <w:numPr>
          <w:ilvl w:val="0"/>
          <w:numId w:val="7"/>
        </w:numPr>
        <w:jc w:val="both"/>
        <w:rPr>
          <w:rFonts w:ascii="Arial" w:hAnsi="Arial"/>
          <w:sz w:val="28"/>
          <w:szCs w:val="28"/>
        </w:rPr>
      </w:pPr>
      <w:r w:rsidRPr="000B3307">
        <w:rPr>
          <w:rFonts w:ascii="Arial" w:hAnsi="Arial"/>
          <w:sz w:val="28"/>
          <w:szCs w:val="28"/>
        </w:rPr>
        <w:t>0.5 = No better than chance</w:t>
      </w:r>
    </w:p>
    <w:p w14:paraId="63F04D60" w14:textId="77777777" w:rsidR="000B3307" w:rsidRPr="000B3307" w:rsidRDefault="000B3307" w:rsidP="000B3307">
      <w:pPr>
        <w:pStyle w:val="ListParagraph"/>
        <w:numPr>
          <w:ilvl w:val="0"/>
          <w:numId w:val="7"/>
        </w:numPr>
        <w:jc w:val="both"/>
        <w:rPr>
          <w:rFonts w:ascii="Arial" w:hAnsi="Arial"/>
          <w:sz w:val="28"/>
          <w:szCs w:val="28"/>
        </w:rPr>
      </w:pPr>
      <w:r w:rsidRPr="000B3307">
        <w:rPr>
          <w:rFonts w:ascii="Arial" w:hAnsi="Arial"/>
          <w:sz w:val="28"/>
          <w:szCs w:val="28"/>
        </w:rPr>
        <w:t>≥ 0.8 = Strong predictor of identifying those within a group and those that are not</w:t>
      </w:r>
    </w:p>
    <w:p w14:paraId="14D54B99" w14:textId="77777777" w:rsidR="000B3307" w:rsidRPr="000B3307" w:rsidRDefault="000B3307" w:rsidP="000B3307">
      <w:pPr>
        <w:pStyle w:val="ListParagraph"/>
        <w:numPr>
          <w:ilvl w:val="0"/>
          <w:numId w:val="7"/>
        </w:numPr>
        <w:jc w:val="both"/>
        <w:rPr>
          <w:rFonts w:ascii="Arial" w:hAnsi="Arial"/>
          <w:sz w:val="28"/>
          <w:szCs w:val="28"/>
        </w:rPr>
      </w:pPr>
      <w:r w:rsidRPr="000B3307">
        <w:rPr>
          <w:rFonts w:ascii="Arial" w:hAnsi="Arial"/>
          <w:sz w:val="28"/>
          <w:szCs w:val="28"/>
        </w:rPr>
        <w:t>1 = Perfectly identifies those within a group and those that are not</w:t>
      </w:r>
    </w:p>
    <w:p w14:paraId="55C1D963" w14:textId="77777777" w:rsidR="000B3307" w:rsidRPr="000B3307" w:rsidRDefault="000B3307" w:rsidP="000B3307">
      <w:pPr>
        <w:jc w:val="both"/>
        <w:rPr>
          <w:rFonts w:ascii="Arial" w:hAnsi="Arial"/>
          <w:sz w:val="28"/>
          <w:szCs w:val="28"/>
        </w:rPr>
      </w:pPr>
    </w:p>
    <w:p w14:paraId="08BD9CA2" w14:textId="77777777" w:rsidR="000B3307" w:rsidRPr="000B3307" w:rsidRDefault="000B3307" w:rsidP="000B3307">
      <w:pPr>
        <w:jc w:val="both"/>
        <w:rPr>
          <w:rFonts w:ascii="Arial" w:hAnsi="Arial"/>
          <w:b/>
          <w:sz w:val="28"/>
          <w:szCs w:val="28"/>
        </w:rPr>
      </w:pPr>
      <w:r w:rsidRPr="000B3307">
        <w:rPr>
          <w:rFonts w:ascii="Arial" w:hAnsi="Arial"/>
          <w:b/>
          <w:sz w:val="28"/>
          <w:szCs w:val="28"/>
        </w:rPr>
        <w:t>Conflicting Reports of TLC as Surrogate for CD4:</w:t>
      </w:r>
    </w:p>
    <w:p w14:paraId="6D2EBB61" w14:textId="77777777" w:rsidR="000B3307" w:rsidRPr="000B3307" w:rsidRDefault="000B3307" w:rsidP="000B3307">
      <w:pPr>
        <w:jc w:val="both"/>
        <w:rPr>
          <w:rFonts w:ascii="Arial" w:hAnsi="Arial"/>
          <w:sz w:val="28"/>
          <w:szCs w:val="28"/>
        </w:rPr>
      </w:pPr>
    </w:p>
    <w:p w14:paraId="34D771D9" w14:textId="77777777" w:rsidR="000B3307" w:rsidRPr="000B3307" w:rsidRDefault="000B3307" w:rsidP="000B3307">
      <w:pPr>
        <w:jc w:val="both"/>
        <w:rPr>
          <w:rFonts w:ascii="Arial" w:hAnsi="Arial"/>
          <w:b/>
          <w:sz w:val="28"/>
          <w:szCs w:val="28"/>
          <w:u w:val="single"/>
        </w:rPr>
      </w:pPr>
      <w:r w:rsidRPr="000B3307">
        <w:rPr>
          <w:rFonts w:ascii="Arial" w:hAnsi="Arial"/>
          <w:b/>
          <w:sz w:val="28"/>
          <w:szCs w:val="28"/>
          <w:u w:val="single"/>
        </w:rPr>
        <w:t>Studies consistent with:</w:t>
      </w:r>
    </w:p>
    <w:p w14:paraId="4837642E" w14:textId="77777777" w:rsidR="000B3307" w:rsidRPr="000B3307" w:rsidRDefault="000B3307" w:rsidP="000B3307">
      <w:pPr>
        <w:jc w:val="both"/>
        <w:rPr>
          <w:rFonts w:ascii="Arial" w:hAnsi="Arial"/>
          <w:sz w:val="28"/>
          <w:szCs w:val="28"/>
        </w:rPr>
      </w:pPr>
    </w:p>
    <w:p w14:paraId="100B0418" w14:textId="77777777" w:rsidR="000B3307" w:rsidRPr="000B3307" w:rsidRDefault="000B3307" w:rsidP="000B3307">
      <w:pPr>
        <w:pStyle w:val="ListParagraph"/>
        <w:numPr>
          <w:ilvl w:val="0"/>
          <w:numId w:val="8"/>
        </w:numPr>
        <w:jc w:val="both"/>
        <w:rPr>
          <w:rFonts w:ascii="Arial" w:hAnsi="Arial"/>
          <w:sz w:val="28"/>
          <w:szCs w:val="28"/>
        </w:rPr>
      </w:pPr>
      <w:proofErr w:type="spellStart"/>
      <w:r w:rsidRPr="000B3307">
        <w:rPr>
          <w:rFonts w:ascii="Arial" w:hAnsi="Arial"/>
          <w:sz w:val="28"/>
          <w:szCs w:val="28"/>
        </w:rPr>
        <w:t>Kumarasamy</w:t>
      </w:r>
      <w:proofErr w:type="spellEnd"/>
      <w:r w:rsidRPr="000B3307">
        <w:rPr>
          <w:rFonts w:ascii="Arial" w:hAnsi="Arial"/>
          <w:sz w:val="28"/>
          <w:szCs w:val="28"/>
        </w:rPr>
        <w:t xml:space="preserve"> N et al. Total Lymphocyte Count (TLC) is a Useful Tool for the Timing of Opportunistic Infection Prophylaxis in India and Other Resource-Constrained Countries. J </w:t>
      </w:r>
      <w:proofErr w:type="spellStart"/>
      <w:r w:rsidRPr="000B3307">
        <w:rPr>
          <w:rFonts w:ascii="Arial" w:hAnsi="Arial"/>
          <w:sz w:val="28"/>
          <w:szCs w:val="28"/>
        </w:rPr>
        <w:t>Acquir</w:t>
      </w:r>
      <w:proofErr w:type="spellEnd"/>
      <w:r w:rsidRPr="000B3307">
        <w:rPr>
          <w:rFonts w:ascii="Arial" w:hAnsi="Arial"/>
          <w:sz w:val="28"/>
          <w:szCs w:val="28"/>
        </w:rPr>
        <w:t xml:space="preserve"> Immune </w:t>
      </w:r>
      <w:proofErr w:type="spellStart"/>
      <w:r w:rsidRPr="000B3307">
        <w:rPr>
          <w:rFonts w:ascii="Arial" w:hAnsi="Arial"/>
          <w:sz w:val="28"/>
          <w:szCs w:val="28"/>
        </w:rPr>
        <w:t>Defic</w:t>
      </w:r>
      <w:proofErr w:type="spellEnd"/>
      <w:r w:rsidRPr="000B3307">
        <w:rPr>
          <w:rFonts w:ascii="Arial" w:hAnsi="Arial"/>
          <w:sz w:val="28"/>
          <w:szCs w:val="28"/>
        </w:rPr>
        <w:t xml:space="preserve"> </w:t>
      </w:r>
      <w:proofErr w:type="spellStart"/>
      <w:r w:rsidRPr="000B3307">
        <w:rPr>
          <w:rFonts w:ascii="Arial" w:hAnsi="Arial"/>
          <w:sz w:val="28"/>
          <w:szCs w:val="28"/>
        </w:rPr>
        <w:t>Syndr</w:t>
      </w:r>
      <w:proofErr w:type="spellEnd"/>
      <w:r w:rsidRPr="000B3307">
        <w:rPr>
          <w:rFonts w:ascii="Arial" w:hAnsi="Arial"/>
          <w:sz w:val="28"/>
          <w:szCs w:val="28"/>
        </w:rPr>
        <w:t>. 2002; 31 (4): 378 – 83</w:t>
      </w:r>
    </w:p>
    <w:p w14:paraId="11A8B5DC" w14:textId="77777777" w:rsidR="000B3307" w:rsidRPr="000B3307" w:rsidRDefault="000B3307" w:rsidP="000B3307">
      <w:pPr>
        <w:jc w:val="both"/>
        <w:rPr>
          <w:rFonts w:ascii="Arial" w:hAnsi="Arial"/>
          <w:sz w:val="28"/>
          <w:szCs w:val="28"/>
        </w:rPr>
      </w:pPr>
    </w:p>
    <w:p w14:paraId="105561B0" w14:textId="77777777" w:rsidR="000B3307" w:rsidRPr="000B3307" w:rsidRDefault="000B3307" w:rsidP="000B3307">
      <w:pPr>
        <w:pStyle w:val="ListParagraph"/>
        <w:numPr>
          <w:ilvl w:val="0"/>
          <w:numId w:val="10"/>
        </w:numPr>
        <w:jc w:val="both"/>
        <w:rPr>
          <w:rFonts w:ascii="Arial" w:hAnsi="Arial"/>
          <w:sz w:val="28"/>
          <w:szCs w:val="28"/>
        </w:rPr>
      </w:pPr>
      <w:r w:rsidRPr="000B3307">
        <w:rPr>
          <w:rFonts w:ascii="Arial" w:hAnsi="Arial"/>
          <w:sz w:val="28"/>
          <w:szCs w:val="28"/>
        </w:rPr>
        <w:t>405 Patients: TLC &lt; 1400 cells/mm</w:t>
      </w:r>
      <w:r w:rsidRPr="000B3307">
        <w:rPr>
          <w:rFonts w:ascii="Arial" w:hAnsi="Arial"/>
          <w:sz w:val="28"/>
          <w:szCs w:val="28"/>
          <w:vertAlign w:val="superscript"/>
        </w:rPr>
        <w:t>3</w:t>
      </w:r>
      <w:r w:rsidRPr="000B3307">
        <w:rPr>
          <w:rFonts w:ascii="Arial" w:hAnsi="Arial"/>
          <w:sz w:val="28"/>
          <w:szCs w:val="28"/>
        </w:rPr>
        <w:t xml:space="preserve"> sensitivity 73% and specificity 88% for CD4 &lt; 200 cells/mm</w:t>
      </w:r>
      <w:r w:rsidRPr="000B3307">
        <w:rPr>
          <w:rFonts w:ascii="Arial" w:hAnsi="Arial"/>
          <w:sz w:val="28"/>
          <w:szCs w:val="28"/>
          <w:vertAlign w:val="superscript"/>
        </w:rPr>
        <w:t>3</w:t>
      </w:r>
      <w:r w:rsidRPr="000B3307">
        <w:rPr>
          <w:rFonts w:ascii="Arial" w:hAnsi="Arial"/>
          <w:sz w:val="28"/>
          <w:szCs w:val="28"/>
        </w:rPr>
        <w:t>.</w:t>
      </w:r>
    </w:p>
    <w:p w14:paraId="36914939" w14:textId="77777777" w:rsidR="000B3307" w:rsidRPr="000B3307" w:rsidRDefault="000B3307" w:rsidP="000B3307">
      <w:pPr>
        <w:jc w:val="both"/>
        <w:rPr>
          <w:rFonts w:ascii="Arial" w:hAnsi="Arial"/>
          <w:sz w:val="28"/>
          <w:szCs w:val="28"/>
        </w:rPr>
      </w:pPr>
    </w:p>
    <w:p w14:paraId="7EB2D097" w14:textId="77777777" w:rsidR="000B3307" w:rsidRPr="000B3307" w:rsidRDefault="000B3307" w:rsidP="000B3307">
      <w:pPr>
        <w:pStyle w:val="ListParagraph"/>
        <w:numPr>
          <w:ilvl w:val="0"/>
          <w:numId w:val="8"/>
        </w:numPr>
        <w:jc w:val="both"/>
        <w:rPr>
          <w:rFonts w:ascii="Arial" w:hAnsi="Arial"/>
          <w:sz w:val="28"/>
          <w:szCs w:val="28"/>
        </w:rPr>
      </w:pPr>
      <w:proofErr w:type="spellStart"/>
      <w:r w:rsidRPr="000B3307">
        <w:rPr>
          <w:rFonts w:ascii="Arial" w:hAnsi="Arial"/>
          <w:sz w:val="28"/>
          <w:szCs w:val="28"/>
        </w:rPr>
        <w:t>Spacek</w:t>
      </w:r>
      <w:proofErr w:type="spellEnd"/>
      <w:r w:rsidRPr="000B3307">
        <w:rPr>
          <w:rFonts w:ascii="Arial" w:hAnsi="Arial"/>
          <w:sz w:val="28"/>
          <w:szCs w:val="28"/>
        </w:rPr>
        <w:t xml:space="preserve"> et al. Total Lymphocyte Count and Hemoglobin Combined in an Algorithm to Initiate the Use of Highly Active Antiretroviral Therapy in Resource-Limited Settings. AIDS 2003</w:t>
      </w:r>
      <w:proofErr w:type="gramStart"/>
      <w:r w:rsidRPr="000B3307">
        <w:rPr>
          <w:rFonts w:ascii="Arial" w:hAnsi="Arial"/>
          <w:sz w:val="28"/>
          <w:szCs w:val="28"/>
        </w:rPr>
        <w:t>;</w:t>
      </w:r>
      <w:proofErr w:type="gramEnd"/>
      <w:r w:rsidRPr="000B3307">
        <w:rPr>
          <w:rFonts w:ascii="Arial" w:hAnsi="Arial"/>
          <w:sz w:val="28"/>
          <w:szCs w:val="28"/>
        </w:rPr>
        <w:t xml:space="preserve"> 17 (9): 1311 – 7.</w:t>
      </w:r>
    </w:p>
    <w:p w14:paraId="2CF93C99" w14:textId="77777777" w:rsidR="000B3307" w:rsidRPr="000B3307" w:rsidRDefault="000B3307" w:rsidP="000B3307">
      <w:pPr>
        <w:jc w:val="both"/>
        <w:rPr>
          <w:rFonts w:ascii="Arial" w:hAnsi="Arial"/>
          <w:sz w:val="28"/>
          <w:szCs w:val="28"/>
        </w:rPr>
      </w:pPr>
    </w:p>
    <w:p w14:paraId="70968A47" w14:textId="77777777" w:rsidR="000B3307" w:rsidRPr="000B3307" w:rsidRDefault="000B3307" w:rsidP="000B3307">
      <w:pPr>
        <w:pStyle w:val="ListParagraph"/>
        <w:numPr>
          <w:ilvl w:val="0"/>
          <w:numId w:val="10"/>
        </w:numPr>
        <w:jc w:val="both"/>
        <w:rPr>
          <w:rFonts w:ascii="Arial" w:hAnsi="Arial"/>
          <w:sz w:val="28"/>
          <w:szCs w:val="28"/>
        </w:rPr>
      </w:pPr>
      <w:r w:rsidRPr="000B3307">
        <w:rPr>
          <w:rFonts w:ascii="Arial" w:hAnsi="Arial"/>
          <w:sz w:val="28"/>
          <w:szCs w:val="28"/>
        </w:rPr>
        <w:t>3,269 Patients: Combined TLC &lt; 1200 cells/mm</w:t>
      </w:r>
      <w:r w:rsidRPr="000B3307">
        <w:rPr>
          <w:rFonts w:ascii="Arial" w:hAnsi="Arial"/>
          <w:sz w:val="28"/>
          <w:szCs w:val="28"/>
          <w:vertAlign w:val="superscript"/>
        </w:rPr>
        <w:t>3</w:t>
      </w:r>
      <w:r w:rsidRPr="000B3307">
        <w:rPr>
          <w:rFonts w:ascii="Arial" w:hAnsi="Arial"/>
          <w:sz w:val="28"/>
          <w:szCs w:val="28"/>
        </w:rPr>
        <w:t xml:space="preserve"> and </w:t>
      </w:r>
      <w:proofErr w:type="spellStart"/>
      <w:r w:rsidRPr="000B3307">
        <w:rPr>
          <w:rFonts w:ascii="Arial" w:hAnsi="Arial"/>
          <w:sz w:val="28"/>
          <w:szCs w:val="28"/>
        </w:rPr>
        <w:t>Hb</w:t>
      </w:r>
      <w:proofErr w:type="spellEnd"/>
      <w:r w:rsidRPr="000B3307">
        <w:rPr>
          <w:rFonts w:ascii="Arial" w:hAnsi="Arial"/>
          <w:sz w:val="28"/>
          <w:szCs w:val="28"/>
        </w:rPr>
        <w:t xml:space="preserve"> &lt; 12 g/</w:t>
      </w:r>
      <w:proofErr w:type="spellStart"/>
      <w:r w:rsidRPr="000B3307">
        <w:rPr>
          <w:rFonts w:ascii="Arial" w:hAnsi="Arial"/>
          <w:sz w:val="28"/>
          <w:szCs w:val="28"/>
        </w:rPr>
        <w:t>dL</w:t>
      </w:r>
      <w:proofErr w:type="spellEnd"/>
      <w:r w:rsidRPr="000B3307">
        <w:rPr>
          <w:rFonts w:ascii="Arial" w:hAnsi="Arial"/>
          <w:sz w:val="28"/>
          <w:szCs w:val="28"/>
        </w:rPr>
        <w:t xml:space="preserve"> had a sensitivity 70.7% and specificity of 81.7% for CD4 &lt; 200 cells/mm</w:t>
      </w:r>
      <w:r w:rsidRPr="000B3307">
        <w:rPr>
          <w:rFonts w:ascii="Arial" w:hAnsi="Arial"/>
          <w:sz w:val="28"/>
          <w:szCs w:val="28"/>
          <w:vertAlign w:val="superscript"/>
        </w:rPr>
        <w:t>3</w:t>
      </w:r>
      <w:r w:rsidRPr="000B3307">
        <w:rPr>
          <w:rFonts w:ascii="Arial" w:hAnsi="Arial"/>
          <w:sz w:val="28"/>
          <w:szCs w:val="28"/>
        </w:rPr>
        <w:t>.</w:t>
      </w:r>
    </w:p>
    <w:p w14:paraId="5A43B7AF" w14:textId="77777777" w:rsidR="000B3307" w:rsidRPr="000B3307" w:rsidRDefault="000B3307" w:rsidP="000B3307">
      <w:pPr>
        <w:jc w:val="both"/>
        <w:rPr>
          <w:rFonts w:ascii="Arial" w:hAnsi="Arial"/>
          <w:sz w:val="28"/>
          <w:szCs w:val="28"/>
        </w:rPr>
      </w:pPr>
    </w:p>
    <w:p w14:paraId="72EA9202" w14:textId="77777777" w:rsidR="000B3307" w:rsidRPr="000B3307" w:rsidRDefault="000B3307" w:rsidP="000B3307">
      <w:pPr>
        <w:pStyle w:val="ListParagraph"/>
        <w:numPr>
          <w:ilvl w:val="0"/>
          <w:numId w:val="8"/>
        </w:numPr>
        <w:jc w:val="both"/>
        <w:rPr>
          <w:rFonts w:ascii="Arial" w:hAnsi="Arial"/>
          <w:sz w:val="28"/>
          <w:szCs w:val="28"/>
        </w:rPr>
      </w:pPr>
      <w:proofErr w:type="spellStart"/>
      <w:r w:rsidRPr="000B3307">
        <w:rPr>
          <w:rFonts w:ascii="Arial" w:hAnsi="Arial"/>
          <w:sz w:val="28"/>
          <w:szCs w:val="28"/>
        </w:rPr>
        <w:t>Badri</w:t>
      </w:r>
      <w:proofErr w:type="spellEnd"/>
      <w:r w:rsidRPr="000B3307">
        <w:rPr>
          <w:rFonts w:ascii="Arial" w:hAnsi="Arial"/>
          <w:sz w:val="28"/>
          <w:szCs w:val="28"/>
        </w:rPr>
        <w:t xml:space="preserve"> M et al. Usefulness of Total Lymphocyte Count in Monitoring Highly Active Antiretroviral Therapy in Resource-Limited Settings. AIDS 2003</w:t>
      </w:r>
      <w:proofErr w:type="gramStart"/>
      <w:r w:rsidRPr="000B3307">
        <w:rPr>
          <w:rFonts w:ascii="Arial" w:hAnsi="Arial"/>
          <w:sz w:val="28"/>
          <w:szCs w:val="28"/>
        </w:rPr>
        <w:t>;</w:t>
      </w:r>
      <w:proofErr w:type="gramEnd"/>
      <w:r w:rsidRPr="000B3307">
        <w:rPr>
          <w:rFonts w:ascii="Arial" w:hAnsi="Arial"/>
          <w:sz w:val="28"/>
          <w:szCs w:val="28"/>
        </w:rPr>
        <w:t xml:space="preserve"> 17 (4): 541 – 545.</w:t>
      </w:r>
    </w:p>
    <w:p w14:paraId="2BF043F9" w14:textId="77777777" w:rsidR="000B3307" w:rsidRPr="000B3307" w:rsidRDefault="000B3307" w:rsidP="000B3307">
      <w:pPr>
        <w:jc w:val="both"/>
        <w:rPr>
          <w:rFonts w:ascii="Arial" w:hAnsi="Arial"/>
          <w:sz w:val="28"/>
          <w:szCs w:val="28"/>
        </w:rPr>
      </w:pPr>
    </w:p>
    <w:p w14:paraId="3B6C7B01" w14:textId="77777777" w:rsidR="000B3307" w:rsidRPr="000B3307" w:rsidRDefault="000B3307" w:rsidP="000B3307">
      <w:pPr>
        <w:pStyle w:val="ListParagraph"/>
        <w:numPr>
          <w:ilvl w:val="0"/>
          <w:numId w:val="10"/>
        </w:numPr>
        <w:jc w:val="both"/>
        <w:rPr>
          <w:rFonts w:ascii="Arial" w:hAnsi="Arial"/>
          <w:sz w:val="28"/>
          <w:szCs w:val="28"/>
        </w:rPr>
      </w:pPr>
      <w:r w:rsidRPr="000B3307">
        <w:rPr>
          <w:rFonts w:ascii="Arial" w:hAnsi="Arial"/>
          <w:sz w:val="28"/>
          <w:szCs w:val="28"/>
        </w:rPr>
        <w:t>266 Patients: A change in TLC had a sensitivity 73% and specificity 88% for the same decreases in CD4.</w:t>
      </w:r>
    </w:p>
    <w:p w14:paraId="4BB79D25" w14:textId="77777777" w:rsidR="000B3307" w:rsidRPr="000B3307" w:rsidRDefault="000B3307" w:rsidP="000B3307">
      <w:pPr>
        <w:jc w:val="both"/>
        <w:rPr>
          <w:rFonts w:ascii="Arial" w:hAnsi="Arial"/>
          <w:sz w:val="28"/>
          <w:szCs w:val="28"/>
        </w:rPr>
      </w:pPr>
    </w:p>
    <w:p w14:paraId="5E146EBA" w14:textId="77777777" w:rsidR="000B3307" w:rsidRPr="000B3307" w:rsidRDefault="000B3307" w:rsidP="000B3307">
      <w:pPr>
        <w:jc w:val="both"/>
        <w:rPr>
          <w:rFonts w:ascii="Arial" w:hAnsi="Arial"/>
          <w:sz w:val="28"/>
          <w:szCs w:val="28"/>
        </w:rPr>
      </w:pPr>
      <w:r w:rsidRPr="000B3307">
        <w:rPr>
          <w:rFonts w:ascii="Arial" w:hAnsi="Arial"/>
          <w:b/>
          <w:sz w:val="28"/>
          <w:szCs w:val="28"/>
        </w:rPr>
        <w:t>Conclusion:</w:t>
      </w:r>
      <w:r w:rsidRPr="000B3307">
        <w:rPr>
          <w:rFonts w:ascii="Arial" w:hAnsi="Arial"/>
          <w:sz w:val="28"/>
          <w:szCs w:val="28"/>
        </w:rPr>
        <w:t xml:space="preserve"> The studies above showed a Sensitivity 70.7% - 73% and Specificity 81.7% - 88% for TLC as a surrogate for CD4</w:t>
      </w:r>
    </w:p>
    <w:p w14:paraId="50E8D10D" w14:textId="77777777" w:rsidR="000B3307" w:rsidRPr="000B3307" w:rsidRDefault="000B3307" w:rsidP="000B3307">
      <w:pPr>
        <w:jc w:val="both"/>
        <w:rPr>
          <w:rFonts w:ascii="Arial" w:hAnsi="Arial"/>
          <w:sz w:val="28"/>
          <w:szCs w:val="28"/>
        </w:rPr>
      </w:pPr>
    </w:p>
    <w:p w14:paraId="0EA8C6C1" w14:textId="77777777" w:rsidR="000B3307" w:rsidRPr="000B3307" w:rsidRDefault="000B3307" w:rsidP="000B3307">
      <w:pPr>
        <w:jc w:val="both"/>
        <w:rPr>
          <w:rFonts w:ascii="Arial" w:hAnsi="Arial"/>
          <w:b/>
          <w:sz w:val="28"/>
          <w:szCs w:val="28"/>
          <w:u w:val="single"/>
        </w:rPr>
      </w:pPr>
      <w:r w:rsidRPr="000B3307">
        <w:rPr>
          <w:rFonts w:ascii="Arial" w:hAnsi="Arial"/>
          <w:b/>
          <w:sz w:val="28"/>
          <w:szCs w:val="28"/>
          <w:u w:val="single"/>
        </w:rPr>
        <w:t>Studies contradictory with:</w:t>
      </w:r>
    </w:p>
    <w:p w14:paraId="7BDD8438" w14:textId="77777777" w:rsidR="000B3307" w:rsidRPr="000B3307" w:rsidRDefault="000B3307" w:rsidP="000B3307">
      <w:pPr>
        <w:jc w:val="both"/>
        <w:rPr>
          <w:rFonts w:ascii="Arial" w:hAnsi="Arial"/>
          <w:sz w:val="28"/>
          <w:szCs w:val="28"/>
        </w:rPr>
      </w:pPr>
    </w:p>
    <w:p w14:paraId="7C265BB1" w14:textId="77777777" w:rsidR="000B3307" w:rsidRPr="000B3307" w:rsidRDefault="000B3307" w:rsidP="000B3307">
      <w:pPr>
        <w:pStyle w:val="ListParagraph"/>
        <w:numPr>
          <w:ilvl w:val="0"/>
          <w:numId w:val="9"/>
        </w:numPr>
        <w:jc w:val="both"/>
        <w:rPr>
          <w:rFonts w:ascii="Arial" w:hAnsi="Arial"/>
          <w:sz w:val="28"/>
          <w:szCs w:val="28"/>
        </w:rPr>
      </w:pPr>
      <w:proofErr w:type="spellStart"/>
      <w:r w:rsidRPr="000B3307">
        <w:rPr>
          <w:rFonts w:ascii="Arial" w:hAnsi="Arial"/>
          <w:sz w:val="28"/>
          <w:szCs w:val="28"/>
        </w:rPr>
        <w:t>Daka</w:t>
      </w:r>
      <w:proofErr w:type="spellEnd"/>
      <w:r w:rsidRPr="000B3307">
        <w:rPr>
          <w:rFonts w:ascii="Arial" w:hAnsi="Arial"/>
          <w:sz w:val="28"/>
          <w:szCs w:val="28"/>
        </w:rPr>
        <w:t xml:space="preserve"> D et al. Relationship Between Total Lymphocyte Count (TLC) and CD4 Count Among Peoples Living with HIV, Southern Ethiopia: A Retrospective Evaluation. AIDS Res </w:t>
      </w:r>
      <w:proofErr w:type="spellStart"/>
      <w:r w:rsidRPr="000B3307">
        <w:rPr>
          <w:rFonts w:ascii="Arial" w:hAnsi="Arial"/>
          <w:sz w:val="28"/>
          <w:szCs w:val="28"/>
        </w:rPr>
        <w:t>Ther</w:t>
      </w:r>
      <w:proofErr w:type="spellEnd"/>
      <w:r w:rsidRPr="000B3307">
        <w:rPr>
          <w:rFonts w:ascii="Arial" w:hAnsi="Arial"/>
          <w:sz w:val="28"/>
          <w:szCs w:val="28"/>
        </w:rPr>
        <w:t xml:space="preserve"> 2008, 5: 26.</w:t>
      </w:r>
    </w:p>
    <w:p w14:paraId="66987F2C" w14:textId="77777777" w:rsidR="000B3307" w:rsidRPr="000B3307" w:rsidRDefault="000B3307" w:rsidP="000B3307">
      <w:pPr>
        <w:jc w:val="both"/>
        <w:rPr>
          <w:rFonts w:ascii="Arial" w:hAnsi="Arial"/>
          <w:sz w:val="28"/>
          <w:szCs w:val="28"/>
        </w:rPr>
      </w:pPr>
    </w:p>
    <w:p w14:paraId="0353AE27" w14:textId="77777777" w:rsidR="000B3307" w:rsidRPr="000B3307" w:rsidRDefault="000B3307" w:rsidP="000B3307">
      <w:pPr>
        <w:pStyle w:val="ListParagraph"/>
        <w:numPr>
          <w:ilvl w:val="0"/>
          <w:numId w:val="10"/>
        </w:numPr>
        <w:jc w:val="both"/>
        <w:rPr>
          <w:rFonts w:ascii="Arial" w:hAnsi="Arial"/>
          <w:sz w:val="28"/>
          <w:szCs w:val="28"/>
        </w:rPr>
      </w:pPr>
      <w:r w:rsidRPr="000B3307">
        <w:rPr>
          <w:rFonts w:ascii="Arial" w:hAnsi="Arial"/>
          <w:sz w:val="28"/>
          <w:szCs w:val="28"/>
        </w:rPr>
        <w:t>2,019 Patients: TLC &lt; 1200 cells/mm3 predicts CD4 count &lt; 200 cells/mm3 had a sensitivity 41% and specificity 83.5%</w:t>
      </w:r>
    </w:p>
    <w:p w14:paraId="3C4CC89D" w14:textId="77777777" w:rsidR="000B3307" w:rsidRPr="000B3307" w:rsidRDefault="000B3307" w:rsidP="000B3307">
      <w:pPr>
        <w:jc w:val="both"/>
        <w:rPr>
          <w:rFonts w:ascii="Arial" w:hAnsi="Arial"/>
          <w:sz w:val="28"/>
          <w:szCs w:val="28"/>
        </w:rPr>
      </w:pPr>
    </w:p>
    <w:p w14:paraId="68B8FC96" w14:textId="77777777" w:rsidR="000B3307" w:rsidRPr="000B3307" w:rsidRDefault="000B3307" w:rsidP="000B3307">
      <w:pPr>
        <w:pStyle w:val="ListParagraph"/>
        <w:numPr>
          <w:ilvl w:val="0"/>
          <w:numId w:val="9"/>
        </w:numPr>
        <w:jc w:val="both"/>
        <w:rPr>
          <w:rFonts w:ascii="Arial" w:hAnsi="Arial"/>
          <w:sz w:val="28"/>
          <w:szCs w:val="28"/>
        </w:rPr>
      </w:pPr>
      <w:proofErr w:type="spellStart"/>
      <w:r w:rsidRPr="000B3307">
        <w:rPr>
          <w:rFonts w:ascii="Arial" w:hAnsi="Arial"/>
          <w:sz w:val="28"/>
          <w:szCs w:val="28"/>
        </w:rPr>
        <w:t>Akinola</w:t>
      </w:r>
      <w:proofErr w:type="spellEnd"/>
      <w:r w:rsidRPr="000B3307">
        <w:rPr>
          <w:rFonts w:ascii="Arial" w:hAnsi="Arial"/>
          <w:sz w:val="28"/>
          <w:szCs w:val="28"/>
        </w:rPr>
        <w:t xml:space="preserve"> NO et al. The Search for a Predictor of CD4 Cell Count continues: Total Lymphocyte Count is Not a Substitute for CD4 Cell Count in Management of HIV-Infected Individuals in a Resource-Limited Setting. </w:t>
      </w:r>
      <w:proofErr w:type="spellStart"/>
      <w:r w:rsidRPr="000B3307">
        <w:rPr>
          <w:rFonts w:ascii="Arial" w:hAnsi="Arial"/>
          <w:sz w:val="28"/>
          <w:szCs w:val="28"/>
        </w:rPr>
        <w:t>Clin</w:t>
      </w:r>
      <w:proofErr w:type="spellEnd"/>
      <w:r w:rsidRPr="000B3307">
        <w:rPr>
          <w:rFonts w:ascii="Arial" w:hAnsi="Arial"/>
          <w:sz w:val="28"/>
          <w:szCs w:val="28"/>
        </w:rPr>
        <w:t xml:space="preserve"> Infect Dis 2004; 39(4): 579 – 581.</w:t>
      </w:r>
    </w:p>
    <w:p w14:paraId="1BBEF743" w14:textId="77777777" w:rsidR="000B3307" w:rsidRPr="000B3307" w:rsidRDefault="000B3307" w:rsidP="000B3307">
      <w:pPr>
        <w:jc w:val="both"/>
        <w:rPr>
          <w:rFonts w:ascii="Arial" w:hAnsi="Arial" w:cs="Arial"/>
          <w:sz w:val="28"/>
          <w:szCs w:val="28"/>
        </w:rPr>
      </w:pPr>
    </w:p>
    <w:p w14:paraId="082086FB" w14:textId="77777777" w:rsidR="000B3307" w:rsidRPr="000B3307" w:rsidRDefault="000B3307" w:rsidP="000B3307">
      <w:pPr>
        <w:pStyle w:val="ListParagraph"/>
        <w:numPr>
          <w:ilvl w:val="0"/>
          <w:numId w:val="10"/>
        </w:numPr>
        <w:jc w:val="both"/>
        <w:rPr>
          <w:rFonts w:ascii="Arial" w:hAnsi="Arial" w:cs="Arial"/>
          <w:sz w:val="28"/>
          <w:szCs w:val="28"/>
        </w:rPr>
      </w:pPr>
      <w:r w:rsidRPr="000B3307">
        <w:rPr>
          <w:rFonts w:ascii="Arial" w:hAnsi="Arial" w:cs="Arial"/>
          <w:sz w:val="28"/>
          <w:szCs w:val="28"/>
        </w:rPr>
        <w:t>109 Patients: CD4 cell counts of &lt;200 cells/mm</w:t>
      </w:r>
      <w:r w:rsidRPr="000B3307">
        <w:rPr>
          <w:rFonts w:ascii="Arial" w:hAnsi="Arial" w:cs="Arial"/>
          <w:sz w:val="28"/>
          <w:szCs w:val="28"/>
          <w:vertAlign w:val="superscript"/>
        </w:rPr>
        <w:t>3</w:t>
      </w:r>
      <w:r w:rsidRPr="000B3307">
        <w:rPr>
          <w:rFonts w:ascii="Arial" w:hAnsi="Arial" w:cs="Arial"/>
          <w:sz w:val="28"/>
          <w:szCs w:val="28"/>
        </w:rPr>
        <w:t xml:space="preserve"> were found in 42 cases (37.8%) with TLCs of </w:t>
      </w:r>
      <w:r w:rsidRPr="000B3307">
        <w:rPr>
          <w:rFonts w:ascii="STIXGeneral-Regular" w:hAnsi="STIXGeneral-Regular" w:cs="STIXGeneral-Regular"/>
          <w:sz w:val="28"/>
          <w:szCs w:val="28"/>
        </w:rPr>
        <w:t>⩾</w:t>
      </w:r>
      <w:r w:rsidRPr="000B3307">
        <w:rPr>
          <w:rFonts w:ascii="Arial" w:hAnsi="Arial" w:cs="Arial"/>
          <w:sz w:val="28"/>
          <w:szCs w:val="28"/>
        </w:rPr>
        <w:t>1200 cells/mm</w:t>
      </w:r>
      <w:r w:rsidRPr="000B3307">
        <w:rPr>
          <w:rFonts w:ascii="Arial" w:hAnsi="Arial" w:cs="Arial"/>
          <w:sz w:val="28"/>
          <w:szCs w:val="28"/>
          <w:vertAlign w:val="superscript"/>
        </w:rPr>
        <w:t>3</w:t>
      </w:r>
      <w:r w:rsidRPr="000B3307">
        <w:rPr>
          <w:rFonts w:ascii="Arial" w:hAnsi="Arial" w:cs="Arial"/>
          <w:sz w:val="28"/>
          <w:szCs w:val="28"/>
        </w:rPr>
        <w:t>.</w:t>
      </w:r>
    </w:p>
    <w:p w14:paraId="62E70327" w14:textId="77777777" w:rsidR="000B3307" w:rsidRPr="000B3307" w:rsidRDefault="000B3307" w:rsidP="000B3307">
      <w:pPr>
        <w:jc w:val="both"/>
        <w:rPr>
          <w:rFonts w:ascii="Arial" w:hAnsi="Arial"/>
          <w:sz w:val="28"/>
          <w:szCs w:val="28"/>
        </w:rPr>
      </w:pPr>
    </w:p>
    <w:p w14:paraId="5370E34E" w14:textId="77777777" w:rsidR="000B3307" w:rsidRPr="000B3307" w:rsidRDefault="000B3307" w:rsidP="000B3307">
      <w:pPr>
        <w:pStyle w:val="ListParagraph"/>
        <w:numPr>
          <w:ilvl w:val="0"/>
          <w:numId w:val="9"/>
        </w:numPr>
        <w:jc w:val="both"/>
        <w:rPr>
          <w:rFonts w:ascii="Arial" w:hAnsi="Arial"/>
          <w:sz w:val="28"/>
          <w:szCs w:val="28"/>
        </w:rPr>
      </w:pPr>
      <w:r w:rsidRPr="000B3307">
        <w:rPr>
          <w:rFonts w:ascii="Arial" w:hAnsi="Arial"/>
          <w:sz w:val="28"/>
          <w:szCs w:val="28"/>
        </w:rPr>
        <w:t xml:space="preserve">Angelo AL et al. Evaluating Total Lymphocyte Counts as a Substitute for CD4 Counts in the Follow up of AIDS Patients. </w:t>
      </w:r>
      <w:proofErr w:type="spellStart"/>
      <w:r w:rsidRPr="000B3307">
        <w:rPr>
          <w:rFonts w:ascii="Arial" w:hAnsi="Arial"/>
          <w:sz w:val="28"/>
          <w:szCs w:val="28"/>
        </w:rPr>
        <w:t>Braz</w:t>
      </w:r>
      <w:proofErr w:type="spellEnd"/>
      <w:r w:rsidRPr="000B3307">
        <w:rPr>
          <w:rFonts w:ascii="Arial" w:hAnsi="Arial"/>
          <w:sz w:val="28"/>
          <w:szCs w:val="28"/>
        </w:rPr>
        <w:t xml:space="preserve"> J Infect Dis 2007</w:t>
      </w:r>
      <w:proofErr w:type="gramStart"/>
      <w:r w:rsidRPr="000B3307">
        <w:rPr>
          <w:rFonts w:ascii="Arial" w:hAnsi="Arial"/>
          <w:sz w:val="28"/>
          <w:szCs w:val="28"/>
        </w:rPr>
        <w:t>;</w:t>
      </w:r>
      <w:proofErr w:type="gramEnd"/>
      <w:r w:rsidRPr="000B3307">
        <w:rPr>
          <w:rFonts w:ascii="Arial" w:hAnsi="Arial"/>
          <w:sz w:val="28"/>
          <w:szCs w:val="28"/>
        </w:rPr>
        <w:t xml:space="preserve"> 11 (5): 466 – 470.</w:t>
      </w:r>
    </w:p>
    <w:p w14:paraId="2CCD1602" w14:textId="77777777" w:rsidR="000B3307" w:rsidRPr="000B3307" w:rsidRDefault="000B3307" w:rsidP="000B3307">
      <w:pPr>
        <w:jc w:val="both"/>
        <w:rPr>
          <w:rFonts w:ascii="Arial" w:hAnsi="Arial"/>
          <w:sz w:val="28"/>
          <w:szCs w:val="28"/>
        </w:rPr>
      </w:pPr>
    </w:p>
    <w:p w14:paraId="52D20911" w14:textId="77777777" w:rsidR="000B3307" w:rsidRPr="000B3307" w:rsidRDefault="000B3307" w:rsidP="000B3307">
      <w:pPr>
        <w:pStyle w:val="ListParagraph"/>
        <w:numPr>
          <w:ilvl w:val="0"/>
          <w:numId w:val="10"/>
        </w:numPr>
        <w:jc w:val="both"/>
        <w:rPr>
          <w:rFonts w:ascii="Arial" w:hAnsi="Arial"/>
          <w:sz w:val="28"/>
          <w:szCs w:val="28"/>
        </w:rPr>
      </w:pPr>
      <w:r w:rsidRPr="000B3307">
        <w:rPr>
          <w:rFonts w:ascii="Arial" w:hAnsi="Arial" w:cs="Arial"/>
          <w:sz w:val="28"/>
          <w:szCs w:val="28"/>
        </w:rPr>
        <w:t>1,174 Patients: TLC of &lt; 1,000 cells/mm3 for CD4 &lt; 200 cells/mm3, had a sensitivity 29% and specificity 98%.</w:t>
      </w:r>
    </w:p>
    <w:p w14:paraId="5EB2AFCF" w14:textId="77777777" w:rsidR="000B3307" w:rsidRPr="000B3307" w:rsidRDefault="000B3307" w:rsidP="000B3307">
      <w:pPr>
        <w:jc w:val="both"/>
        <w:rPr>
          <w:rFonts w:ascii="Arial" w:hAnsi="Arial"/>
          <w:sz w:val="28"/>
          <w:szCs w:val="28"/>
        </w:rPr>
      </w:pPr>
    </w:p>
    <w:p w14:paraId="080F81DA" w14:textId="77777777" w:rsidR="000B3307" w:rsidRPr="000B3307" w:rsidRDefault="000B3307" w:rsidP="000B3307">
      <w:pPr>
        <w:jc w:val="both"/>
        <w:rPr>
          <w:rFonts w:ascii="Arial" w:hAnsi="Arial"/>
          <w:sz w:val="28"/>
          <w:szCs w:val="28"/>
        </w:rPr>
      </w:pPr>
      <w:r w:rsidRPr="000B3307">
        <w:rPr>
          <w:rFonts w:ascii="Arial" w:hAnsi="Arial"/>
          <w:b/>
          <w:sz w:val="28"/>
          <w:szCs w:val="28"/>
        </w:rPr>
        <w:t>Conclusion:</w:t>
      </w:r>
      <w:r w:rsidRPr="000B3307">
        <w:rPr>
          <w:rFonts w:ascii="Arial" w:hAnsi="Arial"/>
          <w:sz w:val="28"/>
          <w:szCs w:val="28"/>
        </w:rPr>
        <w:t xml:space="preserve"> The studies above showed a Sensitivity 29% - 41% and Specificity 83.5% - 98% for TLC as a surrogate for CD4</w:t>
      </w:r>
    </w:p>
    <w:p w14:paraId="55F54004" w14:textId="77777777" w:rsidR="000B3307" w:rsidRPr="000B3307" w:rsidRDefault="000B3307" w:rsidP="000B3307">
      <w:pPr>
        <w:jc w:val="both"/>
        <w:rPr>
          <w:rFonts w:ascii="Arial" w:hAnsi="Arial"/>
          <w:sz w:val="28"/>
          <w:szCs w:val="28"/>
        </w:rPr>
      </w:pPr>
    </w:p>
    <w:p w14:paraId="3CA5BFA8" w14:textId="77777777" w:rsidR="000B3307" w:rsidRPr="000B3307" w:rsidRDefault="000B3307" w:rsidP="000B3307">
      <w:pPr>
        <w:jc w:val="both"/>
        <w:rPr>
          <w:rFonts w:ascii="Arial" w:hAnsi="Arial"/>
          <w:b/>
          <w:sz w:val="28"/>
          <w:szCs w:val="28"/>
        </w:rPr>
      </w:pPr>
      <w:r w:rsidRPr="000B3307">
        <w:rPr>
          <w:rFonts w:ascii="Arial" w:hAnsi="Arial"/>
          <w:b/>
          <w:sz w:val="28"/>
          <w:szCs w:val="28"/>
        </w:rPr>
        <w:t>Take Home Message: TLC can be used as a rough surrogate marker of CD4 counts in patients when CD4 counts are not available in patients who are not on antiretroviral therapy, but use caution in using this marker as the sole absolute cut-off value in making decisions</w:t>
      </w:r>
    </w:p>
    <w:p w14:paraId="3DB66094" w14:textId="77777777" w:rsidR="000B3307" w:rsidRPr="000B3307" w:rsidRDefault="000B3307" w:rsidP="000B3307">
      <w:pPr>
        <w:jc w:val="both"/>
        <w:rPr>
          <w:rFonts w:ascii="Arial" w:hAnsi="Arial"/>
          <w:b/>
          <w:sz w:val="28"/>
          <w:szCs w:val="28"/>
        </w:rPr>
      </w:pPr>
    </w:p>
    <w:sectPr w:rsidR="000B3307" w:rsidRPr="000B3307" w:rsidSect="00C44C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TIXGeneral-Regular">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18"/>
    <w:multiLevelType w:val="hybridMultilevel"/>
    <w:tmpl w:val="6E1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C2A9D"/>
    <w:multiLevelType w:val="hybridMultilevel"/>
    <w:tmpl w:val="011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76FE6"/>
    <w:multiLevelType w:val="hybridMultilevel"/>
    <w:tmpl w:val="502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924F0"/>
    <w:multiLevelType w:val="hybridMultilevel"/>
    <w:tmpl w:val="A18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F7BFF"/>
    <w:multiLevelType w:val="hybridMultilevel"/>
    <w:tmpl w:val="64A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03CCA"/>
    <w:multiLevelType w:val="hybridMultilevel"/>
    <w:tmpl w:val="4044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60836"/>
    <w:multiLevelType w:val="hybridMultilevel"/>
    <w:tmpl w:val="966C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02FC8"/>
    <w:multiLevelType w:val="hybridMultilevel"/>
    <w:tmpl w:val="AE6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C0010"/>
    <w:multiLevelType w:val="hybridMultilevel"/>
    <w:tmpl w:val="D0A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44B3A"/>
    <w:multiLevelType w:val="hybridMultilevel"/>
    <w:tmpl w:val="718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32CD3"/>
    <w:multiLevelType w:val="hybridMultilevel"/>
    <w:tmpl w:val="8AC2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0"/>
  </w:num>
  <w:num w:numId="6">
    <w:abstractNumId w:val="4"/>
  </w:num>
  <w:num w:numId="7">
    <w:abstractNumId w:val="9"/>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585B"/>
    <w:rsid w:val="0003196F"/>
    <w:rsid w:val="000613B6"/>
    <w:rsid w:val="000B3307"/>
    <w:rsid w:val="000B4827"/>
    <w:rsid w:val="00104F43"/>
    <w:rsid w:val="002A6204"/>
    <w:rsid w:val="002E7CC3"/>
    <w:rsid w:val="003640BF"/>
    <w:rsid w:val="004B6D73"/>
    <w:rsid w:val="0067659E"/>
    <w:rsid w:val="006F39A4"/>
    <w:rsid w:val="007238C7"/>
    <w:rsid w:val="008E585B"/>
    <w:rsid w:val="00956CC0"/>
    <w:rsid w:val="00963354"/>
    <w:rsid w:val="009A0F14"/>
    <w:rsid w:val="00A40314"/>
    <w:rsid w:val="00AC5691"/>
    <w:rsid w:val="00AD58C6"/>
    <w:rsid w:val="00B91E38"/>
    <w:rsid w:val="00C43AE1"/>
    <w:rsid w:val="00C44C52"/>
    <w:rsid w:val="00CE5D24"/>
    <w:rsid w:val="00E942D9"/>
    <w:rsid w:val="00EF500B"/>
    <w:rsid w:val="00EF6AB7"/>
    <w:rsid w:val="00F3512B"/>
    <w:rsid w:val="00F8249D"/>
    <w:rsid w:val="00F9349D"/>
    <w:rsid w:val="00FF66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E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91E38"/>
    <w:rPr>
      <w:rFonts w:ascii="Lucida Grande" w:hAnsi="Lucida Grande"/>
      <w:sz w:val="18"/>
      <w:szCs w:val="18"/>
    </w:rPr>
  </w:style>
  <w:style w:type="character" w:styleId="Hyperlink">
    <w:name w:val="Hyperlink"/>
    <w:basedOn w:val="DefaultParagraphFont"/>
    <w:uiPriority w:val="99"/>
    <w:semiHidden/>
    <w:unhideWhenUsed/>
    <w:rsid w:val="002A6204"/>
    <w:rPr>
      <w:color w:val="0000FF" w:themeColor="hyperlink"/>
      <w:u w:val="single"/>
    </w:rPr>
  </w:style>
  <w:style w:type="paragraph" w:styleId="ListParagraph">
    <w:name w:val="List Paragraph"/>
    <w:basedOn w:val="Normal"/>
    <w:uiPriority w:val="34"/>
    <w:qFormat/>
    <w:rsid w:val="002A6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4239340" TargetMode="External"/><Relationship Id="rId7" Type="http://schemas.openxmlformats.org/officeDocument/2006/relationships/hyperlink" Target="http://thesgem.com/2013/12/sgem57-should-i-stay-or-should-i-go-biphasic-anaphylactic-response/" TargetMode="External"/><Relationship Id="rId8" Type="http://schemas.openxmlformats.org/officeDocument/2006/relationships/hyperlink" Target="http://www.ncbi.nlm.nih.gov/pubmed/24725226" TargetMode="External"/><Relationship Id="rId9" Type="http://schemas.openxmlformats.org/officeDocument/2006/relationships/hyperlink" Target="http://thesgem.com/2013/12/sgem57-should-i-stay-or-should-i-go-biphasic-anaphylactic-response/"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1184</Words>
  <Characters>6751</Characters>
  <Application>Microsoft Macintosh Word</Application>
  <DocSecurity>0</DocSecurity>
  <Lines>56</Lines>
  <Paragraphs>15</Paragraphs>
  <ScaleCrop>false</ScaleCrop>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Swaminathan</dc:creator>
  <cp:keywords/>
  <cp:lastModifiedBy>resaie</cp:lastModifiedBy>
  <cp:revision>10</cp:revision>
  <dcterms:created xsi:type="dcterms:W3CDTF">2014-06-02T17:45:00Z</dcterms:created>
  <dcterms:modified xsi:type="dcterms:W3CDTF">2014-06-27T23:17:00Z</dcterms:modified>
</cp:coreProperties>
</file>