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70BBA" w14:textId="77777777" w:rsidR="00CC62C6" w:rsidRPr="00566F77" w:rsidRDefault="00566F77" w:rsidP="00566F77">
      <w:pPr>
        <w:jc w:val="center"/>
        <w:rPr>
          <w:rFonts w:ascii="Arial" w:hAnsi="Arial"/>
          <w:b/>
        </w:rPr>
      </w:pPr>
      <w:r w:rsidRPr="00566F77">
        <w:rPr>
          <w:rFonts w:ascii="Arial" w:hAnsi="Arial"/>
          <w:b/>
        </w:rPr>
        <w:t>September 2014 REBELCast Shownotes</w:t>
      </w:r>
    </w:p>
    <w:p w14:paraId="5149C931" w14:textId="77777777" w:rsidR="00566F77" w:rsidRPr="00566F77" w:rsidRDefault="00566F77" w:rsidP="00566F77">
      <w:pPr>
        <w:jc w:val="center"/>
        <w:rPr>
          <w:rFonts w:ascii="Arial" w:hAnsi="Arial"/>
          <w:b/>
        </w:rPr>
      </w:pPr>
    </w:p>
    <w:p w14:paraId="16B848DA" w14:textId="77777777" w:rsidR="00566F77" w:rsidRPr="00566F77" w:rsidRDefault="00566F77" w:rsidP="00566F77">
      <w:pPr>
        <w:jc w:val="both"/>
        <w:rPr>
          <w:rFonts w:ascii="Arial" w:hAnsi="Arial" w:cs="Arial"/>
        </w:rPr>
      </w:pPr>
      <w:r w:rsidRPr="00566F77">
        <w:rPr>
          <w:rFonts w:ascii="Arial" w:hAnsi="Arial" w:cs="Arial"/>
          <w:b/>
        </w:rPr>
        <w:t>Topic #1:</w:t>
      </w:r>
      <w:r w:rsidRPr="00566F77">
        <w:rPr>
          <w:rFonts w:ascii="Arial" w:hAnsi="Arial" w:cs="Arial"/>
        </w:rPr>
        <w:t xml:space="preserve"> The use of Non-Invasive Positive Pressure Ventilation in the pre-hospital treatment of patients with severe respiratory distress.</w:t>
      </w:r>
    </w:p>
    <w:p w14:paraId="36CF83D3" w14:textId="77777777" w:rsidR="00566F77" w:rsidRPr="00566F77" w:rsidRDefault="00566F77" w:rsidP="00566F77">
      <w:pPr>
        <w:jc w:val="both"/>
        <w:rPr>
          <w:rFonts w:ascii="Arial" w:hAnsi="Arial" w:cs="Arial"/>
          <w:b/>
        </w:rPr>
      </w:pPr>
    </w:p>
    <w:p w14:paraId="52010B12" w14:textId="77777777" w:rsidR="00566F77" w:rsidRPr="00566F77" w:rsidRDefault="00566F77" w:rsidP="00566F77">
      <w:pPr>
        <w:jc w:val="both"/>
        <w:rPr>
          <w:rFonts w:ascii="Arial" w:hAnsi="Arial" w:cs="Arial"/>
        </w:rPr>
      </w:pPr>
      <w:r w:rsidRPr="00566F77">
        <w:rPr>
          <w:rFonts w:ascii="Arial" w:hAnsi="Arial" w:cs="Arial"/>
          <w:b/>
        </w:rPr>
        <w:t xml:space="preserve">Clinical Question: </w:t>
      </w:r>
      <w:r w:rsidRPr="00566F77">
        <w:rPr>
          <w:rFonts w:ascii="Arial" w:hAnsi="Arial" w:cs="Arial"/>
        </w:rPr>
        <w:t>In patients with undifferentiated respiratory distress, does the use of NIPPV in the pre-hospital setting reduce in-hospital mortality?</w:t>
      </w:r>
    </w:p>
    <w:p w14:paraId="0D128E14" w14:textId="77777777" w:rsidR="00566F77" w:rsidRPr="00566F77" w:rsidRDefault="00566F77" w:rsidP="00566F77">
      <w:pPr>
        <w:jc w:val="both"/>
        <w:rPr>
          <w:rFonts w:ascii="Arial" w:hAnsi="Arial" w:cs="Arial"/>
        </w:rPr>
      </w:pPr>
    </w:p>
    <w:p w14:paraId="1BE15542" w14:textId="77777777" w:rsidR="00566F77" w:rsidRPr="00566F77" w:rsidRDefault="00566F77" w:rsidP="00566F77">
      <w:pPr>
        <w:jc w:val="both"/>
        <w:rPr>
          <w:rFonts w:ascii="Arial" w:hAnsi="Arial" w:cs="Arial"/>
        </w:rPr>
      </w:pPr>
      <w:r w:rsidRPr="00566F77">
        <w:rPr>
          <w:rFonts w:ascii="Arial" w:hAnsi="Arial" w:cs="Arial"/>
          <w:b/>
        </w:rPr>
        <w:t>OR:</w:t>
      </w:r>
      <w:r w:rsidRPr="00566F77">
        <w:rPr>
          <w:rFonts w:ascii="Arial" w:hAnsi="Arial" w:cs="Arial"/>
        </w:rPr>
        <w:t xml:space="preserve"> Will starting NIPPV in the pre-hospital setting decrease the risk of my patient with respiratory distress dying in </w:t>
      </w:r>
      <w:r>
        <w:rPr>
          <w:rFonts w:ascii="Arial" w:hAnsi="Arial" w:cs="Arial"/>
        </w:rPr>
        <w:t xml:space="preserve">the </w:t>
      </w:r>
      <w:r w:rsidRPr="00566F77">
        <w:rPr>
          <w:rFonts w:ascii="Arial" w:hAnsi="Arial" w:cs="Arial"/>
        </w:rPr>
        <w:t>hospital?</w:t>
      </w:r>
    </w:p>
    <w:p w14:paraId="2E907D19" w14:textId="77777777" w:rsidR="00566F77" w:rsidRPr="00566F77" w:rsidRDefault="00566F77" w:rsidP="00566F77">
      <w:pPr>
        <w:jc w:val="both"/>
        <w:rPr>
          <w:rFonts w:ascii="Arial" w:hAnsi="Arial" w:cs="Arial"/>
          <w:b/>
        </w:rPr>
      </w:pPr>
    </w:p>
    <w:p w14:paraId="781C03CB" w14:textId="77777777" w:rsidR="00566F77" w:rsidRPr="00566F77" w:rsidRDefault="00566F77" w:rsidP="00566F77">
      <w:pPr>
        <w:jc w:val="both"/>
        <w:rPr>
          <w:rFonts w:ascii="Arial" w:hAnsi="Arial" w:cs="Arial"/>
          <w:b/>
        </w:rPr>
      </w:pPr>
      <w:r w:rsidRPr="00566F77">
        <w:rPr>
          <w:rFonts w:ascii="Arial" w:hAnsi="Arial" w:cs="Arial"/>
          <w:b/>
        </w:rPr>
        <w:t>Article</w:t>
      </w:r>
    </w:p>
    <w:p w14:paraId="65CA692C" w14:textId="77777777" w:rsidR="00566F77" w:rsidRPr="00566F77" w:rsidRDefault="00566F77" w:rsidP="00566F77">
      <w:pPr>
        <w:jc w:val="both"/>
        <w:rPr>
          <w:rFonts w:ascii="Arial" w:hAnsi="Arial" w:cs="Arial"/>
        </w:rPr>
      </w:pPr>
      <w:r w:rsidRPr="00566F77">
        <w:rPr>
          <w:rFonts w:ascii="Arial" w:hAnsi="Arial" w:cs="Arial"/>
        </w:rPr>
        <w:t>Mal S et al. Effect of Out-of-Hospital Noninvasive Positive-Pressure Support Ventilation in Adult Patients with Severe Respiratory Distress: A Systematic Review and Meta-Analysis. Ann of EM 2014; 63: 600-7.</w:t>
      </w:r>
    </w:p>
    <w:p w14:paraId="2131A284" w14:textId="77777777" w:rsidR="00566F77" w:rsidRPr="00566F77" w:rsidRDefault="00566F77" w:rsidP="00566F77">
      <w:pPr>
        <w:jc w:val="both"/>
        <w:rPr>
          <w:rFonts w:ascii="Arial" w:hAnsi="Arial" w:cs="Arial"/>
          <w:b/>
        </w:rPr>
      </w:pPr>
    </w:p>
    <w:p w14:paraId="08345A27" w14:textId="77777777" w:rsidR="00566F77" w:rsidRPr="00566F77" w:rsidRDefault="00566F77" w:rsidP="00566F77">
      <w:pPr>
        <w:jc w:val="both"/>
        <w:rPr>
          <w:rFonts w:ascii="Arial" w:hAnsi="Arial" w:cs="Arial"/>
        </w:rPr>
      </w:pPr>
      <w:r w:rsidRPr="00566F77">
        <w:rPr>
          <w:rFonts w:ascii="Arial" w:hAnsi="Arial" w:cs="Arial"/>
          <w:b/>
        </w:rPr>
        <w:t>Background</w:t>
      </w:r>
      <w:r w:rsidRPr="00566F77">
        <w:rPr>
          <w:rFonts w:ascii="Arial" w:hAnsi="Arial" w:cs="Arial"/>
        </w:rPr>
        <w:t xml:space="preserve">: Severe respiratory distress is commonly seen in the pre-hospital setting. Unfortunately, pre-hospital personnel have limited tools to treat these patients. Dyspnea can result from a number of causes including asthma or COPD exacerbations, ADHF, myocardial infarction, pulmonary embolism and many more. Many of these patients will receive NIPPV upon arrival to the hospital. It is unclear if starting NIPPV in the field will benefit patients with severe respiratory distress. </w:t>
      </w:r>
    </w:p>
    <w:p w14:paraId="5B73467C" w14:textId="77777777" w:rsidR="00566F77" w:rsidRPr="00566F77" w:rsidRDefault="00566F77" w:rsidP="00566F77">
      <w:pPr>
        <w:jc w:val="both"/>
        <w:rPr>
          <w:rFonts w:ascii="Arial" w:hAnsi="Arial" w:cs="Arial"/>
        </w:rPr>
      </w:pPr>
    </w:p>
    <w:p w14:paraId="7063E55A" w14:textId="77777777" w:rsidR="00566F77" w:rsidRPr="00566F77" w:rsidRDefault="00566F77" w:rsidP="00566F77">
      <w:pPr>
        <w:jc w:val="both"/>
        <w:rPr>
          <w:rFonts w:ascii="Arial" w:hAnsi="Arial" w:cs="Arial"/>
          <w:b/>
        </w:rPr>
      </w:pPr>
      <w:r w:rsidRPr="00566F77">
        <w:rPr>
          <w:rFonts w:ascii="Arial" w:hAnsi="Arial" w:cs="Arial"/>
          <w:b/>
        </w:rPr>
        <w:t>Details</w:t>
      </w:r>
    </w:p>
    <w:p w14:paraId="43629386" w14:textId="77777777" w:rsidR="00566F77" w:rsidRPr="00566F77" w:rsidRDefault="00566F77" w:rsidP="00566F77">
      <w:pPr>
        <w:pStyle w:val="ListParagraph"/>
        <w:numPr>
          <w:ilvl w:val="0"/>
          <w:numId w:val="1"/>
        </w:numPr>
        <w:jc w:val="both"/>
        <w:rPr>
          <w:rFonts w:ascii="Arial" w:hAnsi="Arial" w:cs="Arial"/>
        </w:rPr>
      </w:pPr>
      <w:r w:rsidRPr="00566F77">
        <w:rPr>
          <w:rFonts w:ascii="Arial" w:hAnsi="Arial" w:cs="Arial"/>
        </w:rPr>
        <w:t>This study was a meta-analysis of 7 RCTs (n = 632) that compared the use of NIPPV to standard therapy in patients with severe respiratory distress.</w:t>
      </w:r>
    </w:p>
    <w:p w14:paraId="37C24FD3" w14:textId="77777777" w:rsidR="00566F77" w:rsidRPr="00566F77" w:rsidRDefault="00566F77" w:rsidP="00566F77">
      <w:pPr>
        <w:pStyle w:val="ListParagraph"/>
        <w:numPr>
          <w:ilvl w:val="0"/>
          <w:numId w:val="1"/>
        </w:numPr>
        <w:jc w:val="both"/>
        <w:rPr>
          <w:rFonts w:ascii="Arial" w:hAnsi="Arial" w:cs="Arial"/>
        </w:rPr>
      </w:pPr>
      <w:r w:rsidRPr="00566F77">
        <w:rPr>
          <w:rFonts w:ascii="Arial" w:hAnsi="Arial" w:cs="Arial"/>
        </w:rPr>
        <w:t>The meta-analysis looked at 2 main outcomes: death in-hospital and need for intubation and mechanical ventilation.</w:t>
      </w:r>
    </w:p>
    <w:p w14:paraId="347D2AD1" w14:textId="77777777" w:rsidR="00566F77" w:rsidRPr="00566F77" w:rsidRDefault="00566F77" w:rsidP="00566F77">
      <w:pPr>
        <w:pStyle w:val="ListParagraph"/>
        <w:numPr>
          <w:ilvl w:val="0"/>
          <w:numId w:val="1"/>
        </w:numPr>
        <w:jc w:val="both"/>
        <w:rPr>
          <w:rFonts w:ascii="Arial" w:hAnsi="Arial" w:cs="Arial"/>
        </w:rPr>
      </w:pPr>
      <w:r w:rsidRPr="00566F77">
        <w:rPr>
          <w:rFonts w:ascii="Arial" w:hAnsi="Arial" w:cs="Arial"/>
        </w:rPr>
        <w:t>The study found a statistically significant decrease for in-hospital mortality: RR = 0.58 (95% CI 0.35 – 0.95); NNT = 18</w:t>
      </w:r>
    </w:p>
    <w:p w14:paraId="40E0739C" w14:textId="77777777" w:rsidR="00566F77" w:rsidRPr="00566F77" w:rsidRDefault="00566F77" w:rsidP="00566F77">
      <w:pPr>
        <w:pStyle w:val="ListParagraph"/>
        <w:numPr>
          <w:ilvl w:val="0"/>
          <w:numId w:val="1"/>
        </w:numPr>
        <w:jc w:val="both"/>
        <w:rPr>
          <w:rFonts w:ascii="Arial" w:hAnsi="Arial" w:cs="Arial"/>
        </w:rPr>
      </w:pPr>
      <w:r w:rsidRPr="00566F77">
        <w:rPr>
          <w:rFonts w:ascii="Arial" w:hAnsi="Arial" w:cs="Arial"/>
        </w:rPr>
        <w:t>The study found a statistically significant decrease in the need for intubation in the NIPPV group: RR = 0.37 (95% CI 0.24 – 0.58); NNT = 8</w:t>
      </w:r>
    </w:p>
    <w:p w14:paraId="7DBFFFC9" w14:textId="77777777" w:rsidR="00566F77" w:rsidRPr="00566F77" w:rsidRDefault="00566F77" w:rsidP="00566F77">
      <w:pPr>
        <w:jc w:val="both"/>
        <w:rPr>
          <w:rFonts w:ascii="Arial" w:hAnsi="Arial" w:cs="Arial"/>
          <w:b/>
        </w:rPr>
      </w:pPr>
    </w:p>
    <w:p w14:paraId="49C4B33C" w14:textId="77777777" w:rsidR="00566F77" w:rsidRPr="00566F77" w:rsidRDefault="00566F77" w:rsidP="00566F77">
      <w:pPr>
        <w:jc w:val="both"/>
        <w:rPr>
          <w:rFonts w:ascii="Arial" w:hAnsi="Arial" w:cs="Arial"/>
          <w:b/>
        </w:rPr>
      </w:pPr>
      <w:r w:rsidRPr="00566F77">
        <w:rPr>
          <w:rFonts w:ascii="Arial" w:hAnsi="Arial" w:cs="Arial"/>
          <w:b/>
        </w:rPr>
        <w:t>Strengths</w:t>
      </w:r>
    </w:p>
    <w:p w14:paraId="1A1CF052" w14:textId="77777777" w:rsidR="00566F77" w:rsidRPr="00566F77" w:rsidRDefault="00566F77" w:rsidP="00566F77">
      <w:pPr>
        <w:pStyle w:val="ListParagraph"/>
        <w:numPr>
          <w:ilvl w:val="0"/>
          <w:numId w:val="2"/>
        </w:numPr>
        <w:jc w:val="both"/>
        <w:rPr>
          <w:rFonts w:ascii="Arial" w:hAnsi="Arial" w:cs="Arial"/>
        </w:rPr>
      </w:pPr>
      <w:r w:rsidRPr="00566F77">
        <w:rPr>
          <w:rFonts w:ascii="Arial" w:hAnsi="Arial" w:cs="Arial"/>
        </w:rPr>
        <w:t>7 RCTs with 631 patients is impressive for a pre-hospital, critical care intervention.</w:t>
      </w:r>
    </w:p>
    <w:p w14:paraId="633C465D" w14:textId="77777777" w:rsidR="00566F77" w:rsidRPr="00566F77" w:rsidRDefault="00566F77" w:rsidP="00566F77">
      <w:pPr>
        <w:pStyle w:val="ListParagraph"/>
        <w:numPr>
          <w:ilvl w:val="0"/>
          <w:numId w:val="2"/>
        </w:numPr>
        <w:jc w:val="both"/>
        <w:rPr>
          <w:rFonts w:ascii="Arial" w:hAnsi="Arial" w:cs="Arial"/>
        </w:rPr>
      </w:pPr>
      <w:r w:rsidRPr="00566F77">
        <w:rPr>
          <w:rFonts w:ascii="Arial" w:hAnsi="Arial" w:cs="Arial"/>
        </w:rPr>
        <w:t>There was a low risk of bias in 5 out of 7 studies.</w:t>
      </w:r>
    </w:p>
    <w:p w14:paraId="1A64500E" w14:textId="77777777" w:rsidR="00566F77" w:rsidRPr="00566F77" w:rsidRDefault="00566F77" w:rsidP="00566F77">
      <w:pPr>
        <w:pStyle w:val="ListParagraph"/>
        <w:numPr>
          <w:ilvl w:val="0"/>
          <w:numId w:val="2"/>
        </w:numPr>
        <w:jc w:val="both"/>
        <w:rPr>
          <w:rFonts w:ascii="Arial" w:hAnsi="Arial" w:cs="Arial"/>
        </w:rPr>
      </w:pPr>
      <w:r w:rsidRPr="00566F77">
        <w:rPr>
          <w:rFonts w:ascii="Arial" w:hAnsi="Arial" w:cs="Arial"/>
        </w:rPr>
        <w:t>Very few patients were lost to follow up (none in 4 studies, 3-4% in the other 3).</w:t>
      </w:r>
    </w:p>
    <w:p w14:paraId="155FDCA4" w14:textId="77777777" w:rsidR="00566F77" w:rsidRPr="00566F77" w:rsidRDefault="00566F77" w:rsidP="00566F77">
      <w:pPr>
        <w:pStyle w:val="ListParagraph"/>
        <w:numPr>
          <w:ilvl w:val="0"/>
          <w:numId w:val="2"/>
        </w:numPr>
        <w:jc w:val="both"/>
        <w:rPr>
          <w:rFonts w:ascii="Arial" w:hAnsi="Arial" w:cs="Arial"/>
        </w:rPr>
      </w:pPr>
      <w:r w:rsidRPr="00566F77">
        <w:rPr>
          <w:rFonts w:ascii="Arial" w:hAnsi="Arial" w:cs="Arial"/>
        </w:rPr>
        <w:t>Low heterogeneity across studies.</w:t>
      </w:r>
    </w:p>
    <w:p w14:paraId="19A031DC" w14:textId="77777777" w:rsidR="00566F77" w:rsidRPr="00566F77" w:rsidRDefault="00566F77" w:rsidP="00566F77">
      <w:pPr>
        <w:jc w:val="both"/>
        <w:rPr>
          <w:rFonts w:ascii="Arial" w:hAnsi="Arial" w:cs="Arial"/>
          <w:b/>
        </w:rPr>
      </w:pPr>
    </w:p>
    <w:p w14:paraId="31A573D4" w14:textId="77777777" w:rsidR="00566F77" w:rsidRPr="00566F77" w:rsidRDefault="00566F77" w:rsidP="00566F77">
      <w:pPr>
        <w:jc w:val="both"/>
        <w:rPr>
          <w:rFonts w:ascii="Arial" w:hAnsi="Arial" w:cs="Arial"/>
          <w:b/>
        </w:rPr>
      </w:pPr>
      <w:r w:rsidRPr="00566F77">
        <w:rPr>
          <w:rFonts w:ascii="Arial" w:hAnsi="Arial" w:cs="Arial"/>
          <w:b/>
        </w:rPr>
        <w:t>Weaknesses</w:t>
      </w:r>
    </w:p>
    <w:p w14:paraId="33595A9E" w14:textId="77777777" w:rsidR="00566F77" w:rsidRPr="00566F77" w:rsidRDefault="00566F77" w:rsidP="00566F77">
      <w:pPr>
        <w:pStyle w:val="ListParagraph"/>
        <w:numPr>
          <w:ilvl w:val="0"/>
          <w:numId w:val="3"/>
        </w:numPr>
        <w:jc w:val="both"/>
        <w:rPr>
          <w:rFonts w:ascii="Arial" w:hAnsi="Arial" w:cs="Arial"/>
        </w:rPr>
      </w:pPr>
      <w:r w:rsidRPr="00566F77">
        <w:rPr>
          <w:rFonts w:ascii="Arial" w:hAnsi="Arial" w:cs="Arial"/>
        </w:rPr>
        <w:t>Patients were not blinded to treatment (yes, sham NIPPV is possible).</w:t>
      </w:r>
    </w:p>
    <w:p w14:paraId="05F627A2" w14:textId="77777777" w:rsidR="00566F77" w:rsidRPr="00566F77" w:rsidRDefault="00566F77" w:rsidP="00566F77">
      <w:pPr>
        <w:pStyle w:val="ListParagraph"/>
        <w:numPr>
          <w:ilvl w:val="0"/>
          <w:numId w:val="3"/>
        </w:numPr>
        <w:jc w:val="both"/>
        <w:rPr>
          <w:rFonts w:ascii="Arial" w:hAnsi="Arial" w:cs="Arial"/>
        </w:rPr>
      </w:pPr>
      <w:r w:rsidRPr="00566F77">
        <w:rPr>
          <w:rFonts w:ascii="Arial" w:hAnsi="Arial" w:cs="Arial"/>
        </w:rPr>
        <w:lastRenderedPageBreak/>
        <w:t>The majority of patients suffered from acute decompensated heart failure (ADHF) and 97% of patients had asthma, COPD or ADHF.</w:t>
      </w:r>
    </w:p>
    <w:p w14:paraId="4F5B2939" w14:textId="77777777" w:rsidR="00566F77" w:rsidRPr="00566F77" w:rsidRDefault="00566F77" w:rsidP="00566F77">
      <w:pPr>
        <w:pStyle w:val="ListParagraph"/>
        <w:numPr>
          <w:ilvl w:val="0"/>
          <w:numId w:val="3"/>
        </w:numPr>
        <w:jc w:val="both"/>
        <w:rPr>
          <w:rFonts w:ascii="Arial" w:hAnsi="Arial" w:cs="Arial"/>
        </w:rPr>
      </w:pPr>
      <w:r w:rsidRPr="00566F77">
        <w:rPr>
          <w:rFonts w:ascii="Arial" w:hAnsi="Arial" w:cs="Arial"/>
        </w:rPr>
        <w:t>External validity is not clear. 6 studies were performed in Europe where physicians are often part of the pre-hospital team.</w:t>
      </w:r>
    </w:p>
    <w:p w14:paraId="77495276" w14:textId="77777777" w:rsidR="00566F77" w:rsidRPr="00566F77" w:rsidRDefault="00566F77" w:rsidP="00566F77">
      <w:pPr>
        <w:jc w:val="both"/>
        <w:rPr>
          <w:rFonts w:ascii="Arial" w:hAnsi="Arial" w:cs="Arial"/>
          <w:b/>
        </w:rPr>
      </w:pPr>
    </w:p>
    <w:p w14:paraId="52ED6224" w14:textId="77777777" w:rsidR="00566F77" w:rsidRDefault="00566F77" w:rsidP="00566F77">
      <w:pPr>
        <w:jc w:val="both"/>
        <w:rPr>
          <w:rFonts w:ascii="Arial" w:hAnsi="Arial" w:cs="Arial"/>
          <w:b/>
        </w:rPr>
      </w:pPr>
      <w:r w:rsidRPr="00566F77">
        <w:rPr>
          <w:rFonts w:ascii="Arial" w:hAnsi="Arial" w:cs="Arial"/>
          <w:b/>
        </w:rPr>
        <w:t>Clinical Bottom Line: NIPPV should be considered in all patients with severe respiratory distress in the prehospital setting. It has the potential to prevent death in 5-6 patients who present with respiratory distress in the prehospital setting and prevent 12-13 intubations in this group.</w:t>
      </w:r>
    </w:p>
    <w:p w14:paraId="77DAE0DB" w14:textId="77777777" w:rsidR="00566F77" w:rsidRDefault="00566F77" w:rsidP="00566F77">
      <w:pPr>
        <w:jc w:val="both"/>
        <w:rPr>
          <w:rFonts w:ascii="Arial" w:hAnsi="Arial" w:cs="Arial"/>
          <w:b/>
        </w:rPr>
      </w:pPr>
    </w:p>
    <w:p w14:paraId="22F13356" w14:textId="77777777" w:rsidR="00566F77" w:rsidRPr="00566F77" w:rsidRDefault="00566F77" w:rsidP="00566F77">
      <w:pPr>
        <w:jc w:val="both"/>
        <w:rPr>
          <w:rFonts w:ascii="Arial" w:hAnsi="Arial" w:cs="Arial"/>
          <w:b/>
        </w:rPr>
      </w:pPr>
    </w:p>
    <w:p w14:paraId="1A4B34CC" w14:textId="77777777" w:rsidR="00566F77" w:rsidRDefault="00566F77" w:rsidP="00566F77">
      <w:pPr>
        <w:jc w:val="both"/>
        <w:rPr>
          <w:rFonts w:ascii="Arial" w:hAnsi="Arial"/>
        </w:rPr>
      </w:pPr>
    </w:p>
    <w:p w14:paraId="523545AF" w14:textId="77777777" w:rsidR="00566F77" w:rsidRPr="00566F77" w:rsidRDefault="00566F77" w:rsidP="00566F77">
      <w:pPr>
        <w:jc w:val="both"/>
        <w:rPr>
          <w:rFonts w:ascii="Arial" w:hAnsi="Arial" w:cs="Arial"/>
        </w:rPr>
      </w:pPr>
      <w:r w:rsidRPr="00566F77">
        <w:rPr>
          <w:rFonts w:ascii="Arial" w:hAnsi="Arial" w:cs="Arial"/>
          <w:b/>
        </w:rPr>
        <w:t>Topic #2</w:t>
      </w:r>
      <w:r w:rsidRPr="00566F77">
        <w:rPr>
          <w:rFonts w:ascii="Arial" w:hAnsi="Arial" w:cs="Arial"/>
        </w:rPr>
        <w:t>: Once-weekly Dalbavancin for skin infections.</w:t>
      </w:r>
    </w:p>
    <w:p w14:paraId="60BF20AA" w14:textId="77777777" w:rsidR="00566F77" w:rsidRPr="00566F77" w:rsidRDefault="00566F77" w:rsidP="00566F77">
      <w:pPr>
        <w:jc w:val="both"/>
        <w:rPr>
          <w:rFonts w:ascii="Arial" w:hAnsi="Arial" w:cs="Arial"/>
        </w:rPr>
      </w:pPr>
    </w:p>
    <w:p w14:paraId="1F550EA6" w14:textId="77777777" w:rsidR="00566F77" w:rsidRPr="00566F77" w:rsidRDefault="00566F77" w:rsidP="00566F77">
      <w:pPr>
        <w:jc w:val="both"/>
        <w:rPr>
          <w:rFonts w:ascii="Arial" w:hAnsi="Arial" w:cs="Arial"/>
        </w:rPr>
      </w:pPr>
      <w:r w:rsidRPr="00566F77">
        <w:rPr>
          <w:rFonts w:ascii="Arial" w:hAnsi="Arial" w:cs="Arial"/>
          <w:b/>
        </w:rPr>
        <w:t>Clinical Question</w:t>
      </w:r>
      <w:r w:rsidRPr="00566F77">
        <w:rPr>
          <w:rFonts w:ascii="Arial" w:hAnsi="Arial" w:cs="Arial"/>
        </w:rPr>
        <w:t>:  Is weekly dosing of Dalbavancin as effective as routine therapy for skin infections?</w:t>
      </w:r>
    </w:p>
    <w:p w14:paraId="1D1FB792" w14:textId="77777777" w:rsidR="00566F77" w:rsidRPr="00566F77" w:rsidRDefault="00566F77" w:rsidP="00566F77">
      <w:pPr>
        <w:jc w:val="both"/>
        <w:rPr>
          <w:rFonts w:ascii="Arial" w:hAnsi="Arial" w:cs="Arial"/>
        </w:rPr>
      </w:pPr>
    </w:p>
    <w:p w14:paraId="64D21788" w14:textId="77777777" w:rsidR="00566F77" w:rsidRPr="00566F77" w:rsidRDefault="00566F77" w:rsidP="00566F77">
      <w:pPr>
        <w:jc w:val="both"/>
        <w:rPr>
          <w:rFonts w:ascii="Arial" w:hAnsi="Arial" w:cs="Arial"/>
        </w:rPr>
      </w:pPr>
      <w:r w:rsidRPr="00566F77">
        <w:rPr>
          <w:rFonts w:ascii="Arial" w:hAnsi="Arial" w:cs="Arial"/>
          <w:b/>
        </w:rPr>
        <w:t>Article</w:t>
      </w:r>
      <w:r w:rsidRPr="00566F77">
        <w:rPr>
          <w:rFonts w:ascii="Arial" w:hAnsi="Arial" w:cs="Arial"/>
        </w:rPr>
        <w:t xml:space="preserve">: </w:t>
      </w:r>
    </w:p>
    <w:p w14:paraId="6ADD9EC9" w14:textId="77777777" w:rsidR="00566F77" w:rsidRPr="00566F77" w:rsidRDefault="00566F77" w:rsidP="00566F77">
      <w:pPr>
        <w:jc w:val="both"/>
        <w:rPr>
          <w:rFonts w:ascii="Arial" w:hAnsi="Arial" w:cs="Arial"/>
        </w:rPr>
      </w:pPr>
      <w:proofErr w:type="gramStart"/>
      <w:r w:rsidRPr="00566F77">
        <w:rPr>
          <w:rFonts w:ascii="Arial" w:hAnsi="Arial" w:cs="Arial"/>
        </w:rPr>
        <w:t>Boucher, HW et al. Once-Weekly Dalbavancin versus Daily Conventional Therapy for Skin Infection.</w:t>
      </w:r>
      <w:proofErr w:type="gramEnd"/>
      <w:r w:rsidRPr="00566F77">
        <w:rPr>
          <w:rFonts w:ascii="Arial" w:hAnsi="Arial" w:cs="Arial"/>
        </w:rPr>
        <w:t xml:space="preserve"> N Engl J Med 2014; 370:2169-79.</w:t>
      </w:r>
    </w:p>
    <w:p w14:paraId="532171D1" w14:textId="77777777" w:rsidR="00566F77" w:rsidRPr="00566F77" w:rsidRDefault="00566F77" w:rsidP="00566F77">
      <w:pPr>
        <w:jc w:val="both"/>
        <w:rPr>
          <w:rFonts w:ascii="Arial" w:hAnsi="Arial" w:cs="Arial"/>
        </w:rPr>
      </w:pPr>
    </w:p>
    <w:p w14:paraId="45182EE0" w14:textId="77777777" w:rsidR="00566F77" w:rsidRPr="00566F77" w:rsidRDefault="00566F77" w:rsidP="00566F77">
      <w:pPr>
        <w:jc w:val="both"/>
        <w:rPr>
          <w:rFonts w:ascii="Arial" w:hAnsi="Arial" w:cs="Arial"/>
        </w:rPr>
      </w:pPr>
      <w:r w:rsidRPr="00566F77">
        <w:rPr>
          <w:rFonts w:ascii="Arial" w:hAnsi="Arial" w:cs="Arial"/>
          <w:b/>
        </w:rPr>
        <w:t>PMID</w:t>
      </w:r>
      <w:r w:rsidRPr="00566F77">
        <w:rPr>
          <w:rFonts w:ascii="Arial" w:hAnsi="Arial" w:cs="Arial"/>
        </w:rPr>
        <w:t>: 24897082</w:t>
      </w:r>
    </w:p>
    <w:p w14:paraId="4BCB19F2" w14:textId="77777777" w:rsidR="00566F77" w:rsidRPr="00566F77" w:rsidRDefault="00566F77" w:rsidP="00566F77">
      <w:pPr>
        <w:jc w:val="both"/>
        <w:rPr>
          <w:rFonts w:ascii="Arial" w:hAnsi="Arial" w:cs="Arial"/>
        </w:rPr>
      </w:pPr>
    </w:p>
    <w:p w14:paraId="49AF3932" w14:textId="77777777" w:rsidR="00566F77" w:rsidRPr="00566F77" w:rsidRDefault="00566F77" w:rsidP="00566F77">
      <w:pPr>
        <w:jc w:val="both"/>
        <w:rPr>
          <w:rFonts w:ascii="Arial" w:hAnsi="Arial" w:cs="Arial"/>
        </w:rPr>
      </w:pPr>
      <w:r w:rsidRPr="00566F77">
        <w:rPr>
          <w:rFonts w:ascii="Arial" w:hAnsi="Arial" w:cs="Arial"/>
          <w:b/>
        </w:rPr>
        <w:t>Background</w:t>
      </w:r>
      <w:r w:rsidRPr="00566F77">
        <w:rPr>
          <w:rFonts w:ascii="Arial" w:hAnsi="Arial" w:cs="Arial"/>
        </w:rPr>
        <w:t>: Patients with extensive cellulitis or large abscesses often require hospital admission for intravenous antibiotics. This greatly adds to hospitals costs and the other associated risks of inpatient stays. Outpatient treatment of these patients is cost saving and increases patient satisfaction. But often, these patients will fail outpatient oral treatments. What if there was a treatment that was as effective as the usual once or twice daily treatment?</w:t>
      </w:r>
    </w:p>
    <w:p w14:paraId="62321CA9" w14:textId="77777777" w:rsidR="00566F77" w:rsidRPr="00566F77" w:rsidRDefault="00566F77" w:rsidP="00566F77">
      <w:pPr>
        <w:jc w:val="both"/>
        <w:rPr>
          <w:rFonts w:ascii="Arial" w:hAnsi="Arial" w:cs="Arial"/>
        </w:rPr>
      </w:pPr>
    </w:p>
    <w:p w14:paraId="37827602" w14:textId="77777777" w:rsidR="00566F77" w:rsidRPr="00566F77" w:rsidRDefault="00566F77" w:rsidP="00566F77">
      <w:pPr>
        <w:jc w:val="both"/>
        <w:rPr>
          <w:rFonts w:ascii="Arial" w:hAnsi="Arial" w:cs="Arial"/>
        </w:rPr>
      </w:pPr>
      <w:r w:rsidRPr="00566F77">
        <w:rPr>
          <w:rFonts w:ascii="Arial" w:hAnsi="Arial" w:cs="Arial"/>
          <w:b/>
        </w:rPr>
        <w:t>What They Did</w:t>
      </w:r>
      <w:r w:rsidRPr="00566F77">
        <w:rPr>
          <w:rFonts w:ascii="Arial" w:hAnsi="Arial" w:cs="Arial"/>
        </w:rPr>
        <w:t xml:space="preserve">: </w:t>
      </w:r>
    </w:p>
    <w:p w14:paraId="22F5F2CF" w14:textId="77777777" w:rsidR="00566F77" w:rsidRPr="00566F77" w:rsidRDefault="00566F77" w:rsidP="00566F77">
      <w:pPr>
        <w:jc w:val="both"/>
        <w:rPr>
          <w:rFonts w:ascii="Arial" w:hAnsi="Arial" w:cs="Arial"/>
        </w:rPr>
      </w:pPr>
    </w:p>
    <w:p w14:paraId="5070BEFF" w14:textId="77777777" w:rsidR="00566F77" w:rsidRPr="00566F77" w:rsidRDefault="00566F77" w:rsidP="00566F77">
      <w:pPr>
        <w:pStyle w:val="ListParagraph"/>
        <w:numPr>
          <w:ilvl w:val="0"/>
          <w:numId w:val="4"/>
        </w:numPr>
        <w:jc w:val="both"/>
        <w:rPr>
          <w:rFonts w:ascii="Arial" w:hAnsi="Arial" w:cs="Arial"/>
        </w:rPr>
      </w:pPr>
      <w:r w:rsidRPr="00566F77">
        <w:rPr>
          <w:rFonts w:ascii="Arial" w:hAnsi="Arial" w:cs="Arial"/>
        </w:rPr>
        <w:t>Pooled analysis of DISCOVER 1 and DISCOVER 2 trials</w:t>
      </w:r>
    </w:p>
    <w:p w14:paraId="105C27A3" w14:textId="77777777" w:rsidR="00566F77" w:rsidRPr="00566F77" w:rsidRDefault="00566F77" w:rsidP="00566F77">
      <w:pPr>
        <w:pStyle w:val="ListParagraph"/>
        <w:numPr>
          <w:ilvl w:val="0"/>
          <w:numId w:val="4"/>
        </w:numPr>
        <w:jc w:val="both"/>
        <w:rPr>
          <w:rFonts w:ascii="Arial" w:hAnsi="Arial" w:cs="Arial"/>
        </w:rPr>
      </w:pPr>
      <w:r w:rsidRPr="00566F77">
        <w:rPr>
          <w:rFonts w:ascii="Arial" w:hAnsi="Arial" w:cs="Arial"/>
        </w:rPr>
        <w:t>Inclusion criteria</w:t>
      </w:r>
    </w:p>
    <w:p w14:paraId="3A695A61" w14:textId="77777777" w:rsidR="00566F77" w:rsidRPr="00566F77" w:rsidRDefault="00566F77" w:rsidP="00566F77">
      <w:pPr>
        <w:pStyle w:val="ListParagraph"/>
        <w:numPr>
          <w:ilvl w:val="1"/>
          <w:numId w:val="4"/>
        </w:numPr>
        <w:jc w:val="both"/>
        <w:rPr>
          <w:rFonts w:ascii="Arial" w:hAnsi="Arial" w:cs="Arial"/>
        </w:rPr>
      </w:pPr>
      <w:r w:rsidRPr="00566F77">
        <w:rPr>
          <w:rFonts w:ascii="Arial" w:hAnsi="Arial" w:cs="Arial"/>
        </w:rPr>
        <w:t>Presence of cellulitis, major abscess, or wound infection, each associated with a minimum of 75 cm</w:t>
      </w:r>
      <w:r w:rsidRPr="00566F77">
        <w:rPr>
          <w:rFonts w:ascii="Arial" w:hAnsi="Arial" w:cs="Arial"/>
          <w:vertAlign w:val="superscript"/>
        </w:rPr>
        <w:t>2</w:t>
      </w:r>
      <w:r w:rsidRPr="00566F77">
        <w:rPr>
          <w:rFonts w:ascii="Arial" w:hAnsi="Arial" w:cs="Arial"/>
        </w:rPr>
        <w:t xml:space="preserve"> of erythema.</w:t>
      </w:r>
    </w:p>
    <w:p w14:paraId="76BCFD9F" w14:textId="77777777" w:rsidR="00566F77" w:rsidRPr="00566F77" w:rsidRDefault="00566F77" w:rsidP="00566F77">
      <w:pPr>
        <w:pStyle w:val="ListParagraph"/>
        <w:numPr>
          <w:ilvl w:val="1"/>
          <w:numId w:val="4"/>
        </w:numPr>
        <w:jc w:val="both"/>
        <w:rPr>
          <w:rFonts w:ascii="Arial" w:hAnsi="Arial" w:cs="Arial"/>
        </w:rPr>
      </w:pPr>
      <w:r w:rsidRPr="00566F77">
        <w:rPr>
          <w:rFonts w:ascii="Arial" w:hAnsi="Arial" w:cs="Arial"/>
        </w:rPr>
        <w:t>Thought to require at least 3 days of IV therapy.</w:t>
      </w:r>
    </w:p>
    <w:p w14:paraId="4B5ABA6B" w14:textId="77777777" w:rsidR="00566F77" w:rsidRPr="00566F77" w:rsidRDefault="00566F77" w:rsidP="00566F77">
      <w:pPr>
        <w:pStyle w:val="ListParagraph"/>
        <w:numPr>
          <w:ilvl w:val="1"/>
          <w:numId w:val="4"/>
        </w:numPr>
        <w:jc w:val="both"/>
        <w:rPr>
          <w:rFonts w:ascii="Arial" w:hAnsi="Arial" w:cs="Arial"/>
        </w:rPr>
      </w:pPr>
      <w:r w:rsidRPr="00566F77">
        <w:rPr>
          <w:rFonts w:ascii="Arial" w:hAnsi="Arial" w:cs="Arial"/>
        </w:rPr>
        <w:t>One or more signs of systemic infection (e.g., fever &gt; 38 C, WBC &gt; 12,000 cells/mm3, or &gt; 10% bands)</w:t>
      </w:r>
    </w:p>
    <w:p w14:paraId="72AE65DF" w14:textId="77777777" w:rsidR="00566F77" w:rsidRPr="00566F77" w:rsidRDefault="00566F77" w:rsidP="00566F77">
      <w:pPr>
        <w:pStyle w:val="ListParagraph"/>
        <w:numPr>
          <w:ilvl w:val="1"/>
          <w:numId w:val="4"/>
        </w:numPr>
        <w:jc w:val="both"/>
        <w:rPr>
          <w:rFonts w:ascii="Arial" w:hAnsi="Arial" w:cs="Arial"/>
        </w:rPr>
      </w:pPr>
      <w:r w:rsidRPr="00566F77">
        <w:rPr>
          <w:rFonts w:ascii="Arial" w:hAnsi="Arial" w:cs="Arial"/>
        </w:rPr>
        <w:t>At least two signs of local infection or than erythema</w:t>
      </w:r>
    </w:p>
    <w:p w14:paraId="27871566" w14:textId="77777777" w:rsidR="00566F77" w:rsidRPr="00566F77" w:rsidRDefault="00566F77" w:rsidP="00566F77">
      <w:pPr>
        <w:pStyle w:val="ListParagraph"/>
        <w:numPr>
          <w:ilvl w:val="2"/>
          <w:numId w:val="4"/>
        </w:numPr>
        <w:jc w:val="both"/>
        <w:rPr>
          <w:rFonts w:ascii="Arial" w:hAnsi="Arial" w:cs="Arial"/>
        </w:rPr>
      </w:pPr>
      <w:r w:rsidRPr="00566F77">
        <w:rPr>
          <w:rFonts w:ascii="Arial" w:hAnsi="Arial" w:cs="Arial"/>
        </w:rPr>
        <w:t>Purulent drainage or discharge</w:t>
      </w:r>
    </w:p>
    <w:p w14:paraId="044CA76D" w14:textId="77777777" w:rsidR="00566F77" w:rsidRPr="00566F77" w:rsidRDefault="00566F77" w:rsidP="00566F77">
      <w:pPr>
        <w:pStyle w:val="ListParagraph"/>
        <w:numPr>
          <w:ilvl w:val="2"/>
          <w:numId w:val="4"/>
        </w:numPr>
        <w:jc w:val="both"/>
        <w:rPr>
          <w:rFonts w:ascii="Arial" w:hAnsi="Arial" w:cs="Arial"/>
        </w:rPr>
      </w:pPr>
      <w:r w:rsidRPr="00566F77">
        <w:rPr>
          <w:rFonts w:ascii="Arial" w:hAnsi="Arial" w:cs="Arial"/>
        </w:rPr>
        <w:t>Fluctuance</w:t>
      </w:r>
    </w:p>
    <w:p w14:paraId="0BBFAB03" w14:textId="77777777" w:rsidR="00566F77" w:rsidRPr="00566F77" w:rsidRDefault="00566F77" w:rsidP="00566F77">
      <w:pPr>
        <w:pStyle w:val="ListParagraph"/>
        <w:numPr>
          <w:ilvl w:val="2"/>
          <w:numId w:val="4"/>
        </w:numPr>
        <w:jc w:val="both"/>
        <w:rPr>
          <w:rFonts w:ascii="Arial" w:hAnsi="Arial" w:cs="Arial"/>
        </w:rPr>
      </w:pPr>
      <w:r w:rsidRPr="00566F77">
        <w:rPr>
          <w:rFonts w:ascii="Arial" w:hAnsi="Arial" w:cs="Arial"/>
        </w:rPr>
        <w:t>Heat or localized warmth</w:t>
      </w:r>
    </w:p>
    <w:p w14:paraId="53103E39" w14:textId="77777777" w:rsidR="00566F77" w:rsidRPr="00566F77" w:rsidRDefault="00566F77" w:rsidP="00566F77">
      <w:pPr>
        <w:pStyle w:val="ListParagraph"/>
        <w:numPr>
          <w:ilvl w:val="2"/>
          <w:numId w:val="4"/>
        </w:numPr>
        <w:jc w:val="both"/>
        <w:rPr>
          <w:rFonts w:ascii="Arial" w:hAnsi="Arial" w:cs="Arial"/>
        </w:rPr>
      </w:pPr>
      <w:r w:rsidRPr="00566F77">
        <w:rPr>
          <w:rFonts w:ascii="Arial" w:hAnsi="Arial" w:cs="Arial"/>
        </w:rPr>
        <w:t>Tenderness to palpation</w:t>
      </w:r>
    </w:p>
    <w:p w14:paraId="312FEA06" w14:textId="77777777" w:rsidR="00566F77" w:rsidRPr="00566F77" w:rsidRDefault="00566F77" w:rsidP="00566F77">
      <w:pPr>
        <w:pStyle w:val="ListParagraph"/>
        <w:numPr>
          <w:ilvl w:val="2"/>
          <w:numId w:val="4"/>
        </w:numPr>
        <w:jc w:val="both"/>
        <w:rPr>
          <w:rFonts w:ascii="Arial" w:hAnsi="Arial" w:cs="Arial"/>
        </w:rPr>
      </w:pPr>
      <w:r w:rsidRPr="00566F77">
        <w:rPr>
          <w:rFonts w:ascii="Arial" w:hAnsi="Arial" w:cs="Arial"/>
        </w:rPr>
        <w:t>Swelling or induration</w:t>
      </w:r>
    </w:p>
    <w:p w14:paraId="1631AF70" w14:textId="77777777" w:rsidR="00566F77" w:rsidRPr="00566F77" w:rsidRDefault="00566F77" w:rsidP="00566F77">
      <w:pPr>
        <w:pStyle w:val="ListParagraph"/>
        <w:numPr>
          <w:ilvl w:val="0"/>
          <w:numId w:val="4"/>
        </w:numPr>
        <w:jc w:val="both"/>
        <w:rPr>
          <w:rFonts w:ascii="Arial" w:hAnsi="Arial" w:cs="Arial"/>
        </w:rPr>
      </w:pPr>
      <w:r w:rsidRPr="00566F77">
        <w:rPr>
          <w:rFonts w:ascii="Arial" w:hAnsi="Arial" w:cs="Arial"/>
        </w:rPr>
        <w:t>Exclusion criteria</w:t>
      </w:r>
    </w:p>
    <w:p w14:paraId="0B242B91" w14:textId="77777777" w:rsidR="00566F77" w:rsidRPr="00566F77" w:rsidRDefault="00566F77" w:rsidP="00566F77">
      <w:pPr>
        <w:pStyle w:val="ListParagraph"/>
        <w:numPr>
          <w:ilvl w:val="1"/>
          <w:numId w:val="4"/>
        </w:numPr>
        <w:jc w:val="both"/>
        <w:rPr>
          <w:rFonts w:ascii="Arial" w:hAnsi="Arial" w:cs="Arial"/>
        </w:rPr>
      </w:pPr>
      <w:r w:rsidRPr="00566F77">
        <w:rPr>
          <w:rFonts w:ascii="Arial" w:hAnsi="Arial" w:cs="Arial"/>
        </w:rPr>
        <w:t>Patients who had received antibiotics within 14 days before randomization.</w:t>
      </w:r>
    </w:p>
    <w:p w14:paraId="05A7FEEB" w14:textId="77777777" w:rsidR="00566F77" w:rsidRPr="00566F77" w:rsidRDefault="00566F77" w:rsidP="00566F77">
      <w:pPr>
        <w:pStyle w:val="ListParagraph"/>
        <w:numPr>
          <w:ilvl w:val="0"/>
          <w:numId w:val="4"/>
        </w:numPr>
        <w:jc w:val="both"/>
        <w:rPr>
          <w:rFonts w:ascii="Arial" w:hAnsi="Arial" w:cs="Arial"/>
        </w:rPr>
      </w:pPr>
      <w:r w:rsidRPr="00566F77">
        <w:rPr>
          <w:rFonts w:ascii="Arial" w:hAnsi="Arial" w:cs="Arial"/>
        </w:rPr>
        <w:t>2 arms-total of 10-14 days of therapy</w:t>
      </w:r>
    </w:p>
    <w:p w14:paraId="18EB3B6A" w14:textId="77777777" w:rsidR="00566F77" w:rsidRPr="00566F77" w:rsidRDefault="00566F77" w:rsidP="00566F77">
      <w:pPr>
        <w:pStyle w:val="ListParagraph"/>
        <w:numPr>
          <w:ilvl w:val="1"/>
          <w:numId w:val="4"/>
        </w:numPr>
        <w:jc w:val="both"/>
        <w:rPr>
          <w:rFonts w:ascii="Arial" w:hAnsi="Arial" w:cs="Arial"/>
        </w:rPr>
      </w:pPr>
      <w:r w:rsidRPr="00566F77">
        <w:rPr>
          <w:rFonts w:ascii="Arial" w:hAnsi="Arial" w:cs="Arial"/>
        </w:rPr>
        <w:t>IV vancomycin (15 mg/kg) every 12 hours for at least three days with the option to switch to oral linezolid (600 mg) every 12 hours.</w:t>
      </w:r>
    </w:p>
    <w:p w14:paraId="13531446" w14:textId="77777777" w:rsidR="00566F77" w:rsidRPr="00566F77" w:rsidRDefault="00566F77" w:rsidP="00566F77">
      <w:pPr>
        <w:pStyle w:val="ListParagraph"/>
        <w:numPr>
          <w:ilvl w:val="1"/>
          <w:numId w:val="4"/>
        </w:numPr>
        <w:jc w:val="both"/>
        <w:rPr>
          <w:rFonts w:ascii="Arial" w:hAnsi="Arial" w:cs="Arial"/>
        </w:rPr>
      </w:pPr>
      <w:r w:rsidRPr="00566F77">
        <w:rPr>
          <w:rFonts w:ascii="Arial" w:hAnsi="Arial" w:cs="Arial"/>
        </w:rPr>
        <w:t>IV dalbavancin (1 g) on day one, followed by 500 mg IV on day 8 (IV or oral placebo given every 12 hours to complete treatment).</w:t>
      </w:r>
    </w:p>
    <w:p w14:paraId="753D6ED5" w14:textId="77777777" w:rsidR="00566F77" w:rsidRPr="00566F77" w:rsidRDefault="00566F77" w:rsidP="00566F77">
      <w:pPr>
        <w:pStyle w:val="ListParagraph"/>
        <w:numPr>
          <w:ilvl w:val="0"/>
          <w:numId w:val="4"/>
        </w:numPr>
        <w:jc w:val="both"/>
        <w:rPr>
          <w:rFonts w:ascii="Arial" w:hAnsi="Arial" w:cs="Arial"/>
        </w:rPr>
      </w:pPr>
      <w:r w:rsidRPr="00566F77">
        <w:rPr>
          <w:rFonts w:ascii="Arial" w:hAnsi="Arial" w:cs="Arial"/>
        </w:rPr>
        <w:t>Primary end point: measured at 48-72 hours, both cessation of infection-associated erythema and temperature of 37.6 C or lower at three consecutive measurements performed 6 hours apart.</w:t>
      </w:r>
    </w:p>
    <w:p w14:paraId="50D1E46E" w14:textId="77777777" w:rsidR="00566F77" w:rsidRPr="00566F77" w:rsidRDefault="00566F77" w:rsidP="00566F77">
      <w:pPr>
        <w:jc w:val="both"/>
        <w:rPr>
          <w:rFonts w:ascii="Arial" w:hAnsi="Arial" w:cs="Arial"/>
        </w:rPr>
      </w:pPr>
    </w:p>
    <w:p w14:paraId="1F351DF7" w14:textId="77777777" w:rsidR="00566F77" w:rsidRPr="00566F77" w:rsidRDefault="00566F77" w:rsidP="00566F77">
      <w:pPr>
        <w:jc w:val="both"/>
        <w:rPr>
          <w:rFonts w:ascii="Arial" w:hAnsi="Arial" w:cs="Arial"/>
        </w:rPr>
      </w:pPr>
      <w:r w:rsidRPr="00566F77">
        <w:rPr>
          <w:rFonts w:ascii="Arial" w:hAnsi="Arial" w:cs="Arial"/>
          <w:b/>
        </w:rPr>
        <w:t>Results</w:t>
      </w:r>
      <w:r w:rsidRPr="00566F77">
        <w:rPr>
          <w:rFonts w:ascii="Arial" w:hAnsi="Arial" w:cs="Arial"/>
        </w:rPr>
        <w:t>:</w:t>
      </w:r>
    </w:p>
    <w:p w14:paraId="53CB4394" w14:textId="77777777" w:rsidR="00566F77" w:rsidRPr="00566F77" w:rsidRDefault="00566F77" w:rsidP="00566F77">
      <w:pPr>
        <w:jc w:val="both"/>
        <w:rPr>
          <w:rFonts w:ascii="Arial" w:hAnsi="Arial" w:cs="Arial"/>
        </w:rPr>
      </w:pPr>
    </w:p>
    <w:p w14:paraId="37EC5D1B" w14:textId="77777777" w:rsidR="00566F77" w:rsidRPr="00566F77" w:rsidRDefault="00566F77" w:rsidP="00566F77">
      <w:pPr>
        <w:pStyle w:val="ListParagraph"/>
        <w:numPr>
          <w:ilvl w:val="0"/>
          <w:numId w:val="5"/>
        </w:numPr>
        <w:jc w:val="both"/>
        <w:rPr>
          <w:rFonts w:ascii="Arial" w:hAnsi="Arial" w:cs="Arial"/>
        </w:rPr>
      </w:pPr>
      <w:r w:rsidRPr="00566F77">
        <w:rPr>
          <w:rFonts w:ascii="Arial" w:hAnsi="Arial" w:cs="Arial"/>
        </w:rPr>
        <w:t>1303 patients included: 652 patients in dalbavancin group, 651 patients in vancomycin-linezolid group.</w:t>
      </w:r>
    </w:p>
    <w:p w14:paraId="01BCB492" w14:textId="77777777" w:rsidR="00566F77" w:rsidRPr="00566F77" w:rsidRDefault="00566F77" w:rsidP="00566F77">
      <w:pPr>
        <w:pStyle w:val="ListParagraph"/>
        <w:numPr>
          <w:ilvl w:val="0"/>
          <w:numId w:val="5"/>
        </w:numPr>
        <w:jc w:val="both"/>
        <w:rPr>
          <w:rFonts w:ascii="Arial" w:hAnsi="Arial" w:cs="Arial"/>
        </w:rPr>
      </w:pPr>
      <w:r w:rsidRPr="00566F77">
        <w:rPr>
          <w:rFonts w:ascii="Arial" w:hAnsi="Arial" w:cs="Arial"/>
        </w:rPr>
        <w:t>79.7% of dalbavancin group and 79.8% of vancomycin-linezolid group had successful outcome at 48-72 hours (95% CI -4.5 to 4.2).</w:t>
      </w:r>
    </w:p>
    <w:p w14:paraId="3F67FDC3" w14:textId="77777777" w:rsidR="00566F77" w:rsidRPr="00566F77" w:rsidRDefault="00566F77" w:rsidP="00566F77">
      <w:pPr>
        <w:pStyle w:val="ListParagraph"/>
        <w:numPr>
          <w:ilvl w:val="0"/>
          <w:numId w:val="5"/>
        </w:numPr>
        <w:jc w:val="both"/>
        <w:rPr>
          <w:rFonts w:ascii="Arial" w:hAnsi="Arial" w:cs="Arial"/>
        </w:rPr>
      </w:pPr>
      <w:r w:rsidRPr="00566F77">
        <w:rPr>
          <w:rFonts w:ascii="Arial" w:hAnsi="Arial" w:cs="Arial"/>
        </w:rPr>
        <w:t>Most common reason for treatment failure: lack of complete resolution of skin warmth at infection site.</w:t>
      </w:r>
    </w:p>
    <w:p w14:paraId="137EE894" w14:textId="77777777" w:rsidR="00566F77" w:rsidRPr="00566F77" w:rsidRDefault="00566F77" w:rsidP="00566F77">
      <w:pPr>
        <w:pStyle w:val="ListParagraph"/>
        <w:numPr>
          <w:ilvl w:val="0"/>
          <w:numId w:val="5"/>
        </w:numPr>
        <w:jc w:val="both"/>
        <w:rPr>
          <w:rFonts w:ascii="Arial" w:hAnsi="Arial" w:cs="Arial"/>
        </w:rPr>
      </w:pPr>
      <w:r w:rsidRPr="00566F77">
        <w:rPr>
          <w:rFonts w:ascii="Arial" w:hAnsi="Arial" w:cs="Arial"/>
        </w:rPr>
        <w:t>Equivalent outcomes with MRSA infection</w:t>
      </w:r>
    </w:p>
    <w:p w14:paraId="06AD2BDE" w14:textId="77777777" w:rsidR="00566F77" w:rsidRPr="00566F77" w:rsidRDefault="00566F77" w:rsidP="00566F77">
      <w:pPr>
        <w:pStyle w:val="ListParagraph"/>
        <w:numPr>
          <w:ilvl w:val="0"/>
          <w:numId w:val="5"/>
        </w:numPr>
        <w:jc w:val="both"/>
        <w:rPr>
          <w:rFonts w:ascii="Arial" w:hAnsi="Arial" w:cs="Arial"/>
        </w:rPr>
      </w:pPr>
      <w:r w:rsidRPr="00566F77">
        <w:rPr>
          <w:rFonts w:ascii="Arial" w:hAnsi="Arial" w:cs="Arial"/>
        </w:rPr>
        <w:t>Adverse effects: nausea (both groups, not statistically significant), diarrhea and pruritus (more in vancomycin-linezolid group, p=0.02 and p=0.01 respectively)</w:t>
      </w:r>
    </w:p>
    <w:p w14:paraId="3C789CAB" w14:textId="77777777" w:rsidR="00566F77" w:rsidRPr="00566F77" w:rsidRDefault="00566F77" w:rsidP="00566F77">
      <w:pPr>
        <w:jc w:val="both"/>
        <w:rPr>
          <w:rFonts w:ascii="Arial" w:hAnsi="Arial" w:cs="Arial"/>
        </w:rPr>
      </w:pPr>
    </w:p>
    <w:p w14:paraId="7A1F2EB9" w14:textId="77777777" w:rsidR="00566F77" w:rsidRPr="00566F77" w:rsidRDefault="00566F77" w:rsidP="00566F77">
      <w:pPr>
        <w:jc w:val="both"/>
        <w:rPr>
          <w:rFonts w:ascii="Arial" w:hAnsi="Arial" w:cs="Arial"/>
        </w:rPr>
      </w:pPr>
      <w:r w:rsidRPr="00566F77">
        <w:rPr>
          <w:rFonts w:ascii="Arial" w:hAnsi="Arial" w:cs="Arial"/>
          <w:b/>
        </w:rPr>
        <w:t>Limitations</w:t>
      </w:r>
      <w:r w:rsidRPr="00566F77">
        <w:rPr>
          <w:rFonts w:ascii="Arial" w:hAnsi="Arial" w:cs="Arial"/>
        </w:rPr>
        <w:t>:</w:t>
      </w:r>
    </w:p>
    <w:p w14:paraId="195070E9" w14:textId="77777777" w:rsidR="00566F77" w:rsidRPr="00566F77" w:rsidRDefault="00566F77" w:rsidP="00566F77">
      <w:pPr>
        <w:pStyle w:val="ListParagraph"/>
        <w:numPr>
          <w:ilvl w:val="0"/>
          <w:numId w:val="6"/>
        </w:numPr>
        <w:jc w:val="both"/>
        <w:rPr>
          <w:rFonts w:ascii="Arial" w:hAnsi="Arial" w:cs="Arial"/>
        </w:rPr>
      </w:pPr>
      <w:r w:rsidRPr="00566F77">
        <w:rPr>
          <w:rFonts w:ascii="Arial" w:hAnsi="Arial" w:cs="Arial"/>
        </w:rPr>
        <w:t xml:space="preserve">Sponsoring </w:t>
      </w:r>
      <w:r w:rsidR="00102D85" w:rsidRPr="00566F77">
        <w:rPr>
          <w:rFonts w:ascii="Arial" w:hAnsi="Arial" w:cs="Arial"/>
        </w:rPr>
        <w:t>Drug Company</w:t>
      </w:r>
      <w:r w:rsidRPr="00566F77">
        <w:rPr>
          <w:rFonts w:ascii="Arial" w:hAnsi="Arial" w:cs="Arial"/>
        </w:rPr>
        <w:t xml:space="preserve"> collected the data, monitored study conduct, and performed statistical analysis.</w:t>
      </w:r>
    </w:p>
    <w:p w14:paraId="3E085E4E" w14:textId="77777777" w:rsidR="00566F77" w:rsidRPr="00566F77" w:rsidRDefault="00566F77" w:rsidP="00566F77">
      <w:pPr>
        <w:pStyle w:val="ListParagraph"/>
        <w:numPr>
          <w:ilvl w:val="0"/>
          <w:numId w:val="6"/>
        </w:numPr>
        <w:jc w:val="both"/>
        <w:rPr>
          <w:rFonts w:ascii="Arial" w:hAnsi="Arial" w:cs="Arial"/>
        </w:rPr>
      </w:pPr>
      <w:r w:rsidRPr="00566F77">
        <w:rPr>
          <w:rFonts w:ascii="Arial" w:hAnsi="Arial" w:cs="Arial"/>
        </w:rPr>
        <w:t>Subjective nature of some data points.</w:t>
      </w:r>
    </w:p>
    <w:p w14:paraId="6216B0FF" w14:textId="77777777" w:rsidR="00566F77" w:rsidRPr="00566F77" w:rsidRDefault="00566F77" w:rsidP="00566F77">
      <w:pPr>
        <w:jc w:val="both"/>
        <w:rPr>
          <w:rFonts w:ascii="Arial" w:hAnsi="Arial" w:cs="Arial"/>
        </w:rPr>
      </w:pPr>
    </w:p>
    <w:p w14:paraId="1B911E99" w14:textId="77777777" w:rsidR="00566F77" w:rsidRPr="00566F77" w:rsidRDefault="00566F77" w:rsidP="00566F77">
      <w:pPr>
        <w:jc w:val="both"/>
        <w:rPr>
          <w:rFonts w:ascii="Arial" w:hAnsi="Arial" w:cs="Arial"/>
        </w:rPr>
      </w:pPr>
      <w:r w:rsidRPr="00566F77">
        <w:rPr>
          <w:rFonts w:ascii="Arial" w:hAnsi="Arial" w:cs="Arial"/>
          <w:b/>
        </w:rPr>
        <w:t>Conclusion</w:t>
      </w:r>
      <w:r w:rsidRPr="00566F77">
        <w:rPr>
          <w:rFonts w:ascii="Arial" w:hAnsi="Arial" w:cs="Arial"/>
        </w:rPr>
        <w:t>:</w:t>
      </w:r>
    </w:p>
    <w:p w14:paraId="294FA601" w14:textId="77777777" w:rsidR="00566F77" w:rsidRPr="00566F77" w:rsidRDefault="00566F77" w:rsidP="00566F77">
      <w:pPr>
        <w:jc w:val="both"/>
        <w:rPr>
          <w:rFonts w:ascii="Arial" w:hAnsi="Arial" w:cs="Arial"/>
        </w:rPr>
      </w:pPr>
      <w:r w:rsidRPr="00566F77">
        <w:rPr>
          <w:rFonts w:ascii="Arial" w:hAnsi="Arial" w:cs="Arial"/>
        </w:rPr>
        <w:t>“Our results show that for the treatment of acute bacterial skin and skin-structure infection, the efficacy of dalbavancin administered once weekly was not inferior to that of a conventional twice-daily antibiotic regimen.”</w:t>
      </w:r>
    </w:p>
    <w:p w14:paraId="6FA046B5" w14:textId="77777777" w:rsidR="00566F77" w:rsidRPr="00566F77" w:rsidRDefault="00566F77" w:rsidP="00566F77">
      <w:pPr>
        <w:jc w:val="both"/>
        <w:rPr>
          <w:rFonts w:ascii="Arial" w:hAnsi="Arial" w:cs="Arial"/>
        </w:rPr>
      </w:pPr>
    </w:p>
    <w:p w14:paraId="72C57F7E" w14:textId="77777777" w:rsidR="00566F77" w:rsidRPr="00566F77" w:rsidRDefault="00566F77" w:rsidP="00566F77">
      <w:pPr>
        <w:jc w:val="both"/>
        <w:rPr>
          <w:rFonts w:ascii="Arial" w:hAnsi="Arial" w:cs="Arial"/>
          <w:b/>
        </w:rPr>
      </w:pPr>
      <w:r w:rsidRPr="00566F77">
        <w:rPr>
          <w:rFonts w:ascii="Arial" w:hAnsi="Arial" w:cs="Arial"/>
          <w:b/>
        </w:rPr>
        <w:t>Comments:</w:t>
      </w:r>
    </w:p>
    <w:p w14:paraId="1DB8FACA" w14:textId="77777777" w:rsidR="00566F77" w:rsidRPr="00566F77" w:rsidRDefault="00566F77" w:rsidP="00566F77">
      <w:pPr>
        <w:pStyle w:val="ListParagraph"/>
        <w:numPr>
          <w:ilvl w:val="0"/>
          <w:numId w:val="7"/>
        </w:numPr>
        <w:jc w:val="both"/>
        <w:rPr>
          <w:rFonts w:ascii="Arial" w:hAnsi="Arial" w:cs="Arial"/>
        </w:rPr>
      </w:pPr>
      <w:r w:rsidRPr="00566F77">
        <w:rPr>
          <w:rFonts w:ascii="Arial" w:hAnsi="Arial" w:cs="Arial"/>
        </w:rPr>
        <w:t>Study does show non-inferiority of dalbavancin making it an option for outpatient treatment of skin infections.</w:t>
      </w:r>
    </w:p>
    <w:p w14:paraId="5C79CE27" w14:textId="77777777" w:rsidR="00566F77" w:rsidRPr="00566F77" w:rsidRDefault="00566F77" w:rsidP="00566F77">
      <w:pPr>
        <w:pStyle w:val="ListParagraph"/>
        <w:numPr>
          <w:ilvl w:val="0"/>
          <w:numId w:val="7"/>
        </w:numPr>
        <w:jc w:val="both"/>
        <w:rPr>
          <w:rFonts w:ascii="Arial" w:hAnsi="Arial" w:cs="Arial"/>
        </w:rPr>
      </w:pPr>
      <w:r w:rsidRPr="00566F77">
        <w:rPr>
          <w:rFonts w:ascii="Arial" w:hAnsi="Arial" w:cs="Arial"/>
        </w:rPr>
        <w:t>First dose may be given in the ED with second dose at an infusion center.</w:t>
      </w:r>
    </w:p>
    <w:p w14:paraId="47E6A5E7" w14:textId="77777777" w:rsidR="00566F77" w:rsidRPr="00566F77" w:rsidRDefault="00566F77" w:rsidP="00566F77">
      <w:pPr>
        <w:pStyle w:val="ListParagraph"/>
        <w:numPr>
          <w:ilvl w:val="0"/>
          <w:numId w:val="7"/>
        </w:numPr>
        <w:jc w:val="both"/>
        <w:rPr>
          <w:rFonts w:ascii="Arial" w:hAnsi="Arial" w:cs="Arial"/>
        </w:rPr>
      </w:pPr>
      <w:r w:rsidRPr="00566F77">
        <w:rPr>
          <w:rFonts w:ascii="Arial" w:hAnsi="Arial" w:cs="Arial"/>
        </w:rPr>
        <w:t>Be aware of the cost of a new IV drug, may be prohibitive.</w:t>
      </w:r>
    </w:p>
    <w:p w14:paraId="767772CB" w14:textId="77777777" w:rsidR="00566F77" w:rsidRPr="00566F77" w:rsidRDefault="00566F77" w:rsidP="00566F77">
      <w:pPr>
        <w:jc w:val="both"/>
        <w:rPr>
          <w:rFonts w:ascii="Arial" w:hAnsi="Arial" w:cs="Arial"/>
        </w:rPr>
      </w:pPr>
    </w:p>
    <w:p w14:paraId="5F7BDAD1" w14:textId="77777777" w:rsidR="00566F77" w:rsidRPr="00E420CB" w:rsidRDefault="00566F77" w:rsidP="00566F77">
      <w:pPr>
        <w:jc w:val="both"/>
        <w:rPr>
          <w:rFonts w:ascii="Arial" w:hAnsi="Arial" w:cs="Arial"/>
          <w:b/>
        </w:rPr>
      </w:pPr>
      <w:bookmarkStart w:id="0" w:name="_GoBack"/>
      <w:r w:rsidRPr="00E420CB">
        <w:rPr>
          <w:rFonts w:ascii="Arial" w:hAnsi="Arial" w:cs="Arial"/>
          <w:b/>
        </w:rPr>
        <w:t>Clinical Bottom Line:</w:t>
      </w:r>
    </w:p>
    <w:p w14:paraId="2D86748B" w14:textId="77777777" w:rsidR="00566F77" w:rsidRPr="00E420CB" w:rsidRDefault="00566F77" w:rsidP="00566F77">
      <w:pPr>
        <w:jc w:val="both"/>
        <w:rPr>
          <w:rFonts w:ascii="Arial" w:hAnsi="Arial" w:cs="Arial"/>
          <w:b/>
        </w:rPr>
      </w:pPr>
      <w:r w:rsidRPr="00E420CB">
        <w:rPr>
          <w:rFonts w:ascii="Arial" w:hAnsi="Arial" w:cs="Arial"/>
          <w:b/>
        </w:rPr>
        <w:t>IV dalbavancin is an alternative antibiotic for skin infections that can be dosed on a weekly basis. This potentially avoids a hospital admission, but as with other new medications, cost may be an issue. Other, non-drug company sponsored studies need to be conducted.</w:t>
      </w:r>
    </w:p>
    <w:bookmarkEnd w:id="0"/>
    <w:p w14:paraId="1A31D290" w14:textId="77777777" w:rsidR="00566F77" w:rsidRPr="00566F77" w:rsidRDefault="00566F77" w:rsidP="00566F77">
      <w:pPr>
        <w:jc w:val="both"/>
        <w:rPr>
          <w:rFonts w:ascii="Arial" w:hAnsi="Arial" w:cs="Arial"/>
        </w:rPr>
      </w:pPr>
    </w:p>
    <w:sectPr w:rsidR="00566F77" w:rsidRPr="00566F77" w:rsidSect="00D62E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006"/>
    <w:multiLevelType w:val="hybridMultilevel"/>
    <w:tmpl w:val="9B46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0646"/>
    <w:multiLevelType w:val="hybridMultilevel"/>
    <w:tmpl w:val="B6CA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E7735"/>
    <w:multiLevelType w:val="hybridMultilevel"/>
    <w:tmpl w:val="EE9A2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13D6C"/>
    <w:multiLevelType w:val="hybridMultilevel"/>
    <w:tmpl w:val="4208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51C87"/>
    <w:multiLevelType w:val="hybridMultilevel"/>
    <w:tmpl w:val="32D8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63484"/>
    <w:multiLevelType w:val="hybridMultilevel"/>
    <w:tmpl w:val="CBE6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80233"/>
    <w:multiLevelType w:val="hybridMultilevel"/>
    <w:tmpl w:val="1480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77"/>
    <w:rsid w:val="00102D85"/>
    <w:rsid w:val="00566F77"/>
    <w:rsid w:val="00CC62C6"/>
    <w:rsid w:val="00D62EC0"/>
    <w:rsid w:val="00E42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96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F77"/>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F77"/>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5082</Characters>
  <Application>Microsoft Macintosh Word</Application>
  <DocSecurity>0</DocSecurity>
  <Lines>42</Lines>
  <Paragraphs>11</Paragraphs>
  <ScaleCrop>false</ScaleCrop>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resaie</dc:creator>
  <cp:keywords/>
  <dc:description/>
  <cp:lastModifiedBy>resaie</cp:lastModifiedBy>
  <cp:revision>4</cp:revision>
  <cp:lastPrinted>2014-08-28T15:03:00Z</cp:lastPrinted>
  <dcterms:created xsi:type="dcterms:W3CDTF">2014-08-28T15:03:00Z</dcterms:created>
  <dcterms:modified xsi:type="dcterms:W3CDTF">2014-09-01T21:03:00Z</dcterms:modified>
</cp:coreProperties>
</file>